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FC181" w14:textId="77777777" w:rsidR="00C57D69" w:rsidRDefault="00697E25"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r>
        <w:rPr>
          <w:rFonts w:ascii="Verdana" w:eastAsia="Times New Roman" w:hAnsi="Verdana" w:cs="Times New Roman"/>
          <w:b/>
          <w:noProof/>
          <w:color w:val="000000"/>
          <w:sz w:val="20"/>
          <w:szCs w:val="20"/>
        </w:rPr>
        <w:drawing>
          <wp:anchor distT="0" distB="0" distL="114300" distR="114300" simplePos="0" relativeHeight="251660288" behindDoc="1" locked="0" layoutInCell="1" allowOverlap="1" wp14:anchorId="516A17BE" wp14:editId="6E1DABD6">
            <wp:simplePos x="0" y="0"/>
            <wp:positionH relativeFrom="column">
              <wp:posOffset>-171450</wp:posOffset>
            </wp:positionH>
            <wp:positionV relativeFrom="paragraph">
              <wp:posOffset>-361950</wp:posOffset>
            </wp:positionV>
            <wp:extent cx="1657350" cy="1133475"/>
            <wp:effectExtent l="19050" t="0" r="0" b="0"/>
            <wp:wrapTight wrapText="bothSides">
              <wp:wrapPolygon edited="0">
                <wp:start x="-248" y="0"/>
                <wp:lineTo x="-248" y="21418"/>
                <wp:lineTo x="21600" y="21418"/>
                <wp:lineTo x="21600" y="0"/>
                <wp:lineTo x="-248" y="0"/>
              </wp:wrapPolygon>
            </wp:wrapTight>
            <wp:docPr id="18" name="Picture 18" descr="L:\PUBLIC\Financial Education\VACUL Fin Ed Committe\Credit Campaign\Smart Credit Check Artwork\Smart_Credit_Logo_1.jpg"/>
            <wp:cNvGraphicFramePr/>
            <a:graphic xmlns:a="http://schemas.openxmlformats.org/drawingml/2006/main">
              <a:graphicData uri="http://schemas.openxmlformats.org/drawingml/2006/picture">
                <pic:pic xmlns:pic="http://schemas.openxmlformats.org/drawingml/2006/picture">
                  <pic:nvPicPr>
                    <pic:cNvPr id="10" name="Picture 2" descr="L:\PUBLIC\Financial Education\VACUL Fin Ed Committe\Credit Campaign\Smart Credit Check Artwork\Smart_Credit_Logo_1.jpg"/>
                    <pic:cNvPicPr>
                      <a:picLocks noChangeAspect="1" noChangeArrowheads="1"/>
                    </pic:cNvPicPr>
                  </pic:nvPicPr>
                  <pic:blipFill>
                    <a:blip r:embed="rId8" cstate="print"/>
                    <a:srcRect/>
                    <a:stretch>
                      <a:fillRect/>
                    </a:stretch>
                  </pic:blipFill>
                  <pic:spPr bwMode="auto">
                    <a:xfrm>
                      <a:off x="0" y="0"/>
                      <a:ext cx="1657350" cy="1133475"/>
                    </a:xfrm>
                    <a:prstGeom prst="rect">
                      <a:avLst/>
                    </a:prstGeom>
                    <a:noFill/>
                  </pic:spPr>
                </pic:pic>
              </a:graphicData>
            </a:graphic>
          </wp:anchor>
        </w:drawing>
      </w:r>
      <w:r>
        <w:rPr>
          <w:rFonts w:ascii="Verdana" w:eastAsia="Times New Roman" w:hAnsi="Verdana" w:cs="Times New Roman"/>
          <w:b/>
          <w:noProof/>
          <w:color w:val="000000"/>
          <w:sz w:val="20"/>
          <w:szCs w:val="20"/>
        </w:rPr>
        <w:drawing>
          <wp:anchor distT="0" distB="0" distL="114300" distR="114300" simplePos="0" relativeHeight="251659264" behindDoc="1" locked="0" layoutInCell="1" allowOverlap="1" wp14:anchorId="03562C74" wp14:editId="1BF40D6C">
            <wp:simplePos x="0" y="0"/>
            <wp:positionH relativeFrom="column">
              <wp:posOffset>4419600</wp:posOffset>
            </wp:positionH>
            <wp:positionV relativeFrom="paragraph">
              <wp:posOffset>-66675</wp:posOffset>
            </wp:positionV>
            <wp:extent cx="2600325" cy="523875"/>
            <wp:effectExtent l="19050" t="0" r="9525" b="0"/>
            <wp:wrapTight wrapText="bothSides">
              <wp:wrapPolygon edited="0">
                <wp:start x="-158" y="0"/>
                <wp:lineTo x="-158" y="21207"/>
                <wp:lineTo x="21679" y="21207"/>
                <wp:lineTo x="21679" y="0"/>
                <wp:lineTo x="-158" y="0"/>
              </wp:wrapPolygon>
            </wp:wrapTight>
            <wp:docPr id="16" name="Picture 16" descr="C:\Users\cassandra.riggin\AppData\Local\Microsoft\Windows\Temporary Internet Files\Content.Outlook\E5JSVKP2\CUsCareFoundationofVa_Logo_FINAL_Legacy-Converted.jpg"/>
            <wp:cNvGraphicFramePr/>
            <a:graphic xmlns:a="http://schemas.openxmlformats.org/drawingml/2006/main">
              <a:graphicData uri="http://schemas.openxmlformats.org/drawingml/2006/picture">
                <pic:pic xmlns:pic="http://schemas.openxmlformats.org/drawingml/2006/picture">
                  <pic:nvPicPr>
                    <pic:cNvPr id="31746" name="Picture 2" descr="C:\Users\cassandra.riggin\AppData\Local\Microsoft\Windows\Temporary Internet Files\Content.Outlook\E5JSVKP2\CUsCareFoundationofVa_Logo_FINAL_Legacy-Converted.jpg"/>
                    <pic:cNvPicPr>
                      <a:picLocks noChangeAspect="1" noChangeArrowheads="1"/>
                    </pic:cNvPicPr>
                  </pic:nvPicPr>
                  <pic:blipFill>
                    <a:blip r:embed="rId9" cstate="print"/>
                    <a:srcRect/>
                    <a:stretch>
                      <a:fillRect/>
                    </a:stretch>
                  </pic:blipFill>
                  <pic:spPr bwMode="auto">
                    <a:xfrm>
                      <a:off x="0" y="0"/>
                      <a:ext cx="2600325" cy="523875"/>
                    </a:xfrm>
                    <a:prstGeom prst="rect">
                      <a:avLst/>
                    </a:prstGeom>
                    <a:noFill/>
                  </pic:spPr>
                </pic:pic>
              </a:graphicData>
            </a:graphic>
          </wp:anchor>
        </w:drawing>
      </w:r>
    </w:p>
    <w:p w14:paraId="5F0F69BF" w14:textId="77777777" w:rsidR="00E52C8B" w:rsidRDefault="00E52C8B"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p>
    <w:p w14:paraId="6D58B633" w14:textId="77777777" w:rsidR="004641E1" w:rsidRDefault="00023D95"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r>
        <w:rPr>
          <w:rFonts w:ascii="Verdana" w:eastAsia="Times New Roman" w:hAnsi="Verdana" w:cs="Times New Roman"/>
          <w:b/>
          <w:noProof/>
          <w:color w:val="000000"/>
          <w:sz w:val="20"/>
          <w:szCs w:val="20"/>
        </w:rPr>
        <w:pict w14:anchorId="7CB3B34F">
          <v:shapetype id="_x0000_t202" coordsize="21600,21600" o:spt="202" path="m,l,21600r21600,l21600,xe">
            <v:stroke joinstyle="miter"/>
            <v:path gradientshapeok="t" o:connecttype="rect"/>
          </v:shapetype>
          <v:shape id="Text Box 2" o:spid="_x0000_s1026" type="#_x0000_t202" style="position:absolute;margin-left:-166.5pt;margin-top:22.7pt;width:626.25pt;height:3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oaKwIAAFAEAAAOAAAAZHJzL2Uyb0RvYy54bWysVNuO0zAQfUfiHyy/06Rpu9tGTVdLl0VI&#10;y0Xa5QMcx0ksHI+x3Sbl6xk7bYngBSHyYHk84+OZc2ayvRs6RY7COgm6oPNZSonQHCqpm4J+fXl8&#10;s6bEeaYrpkCLgp6Eo3e716+2vclFBi2oSliCINrlvSlo673Jk8TxVnTMzcAIjc4abMc8mrZJKst6&#10;RO9UkqXpTdKDrYwFLpzD04fRSXcRv64F95/r2glPVEExNx9XG9cyrMluy/LGMtNKfk6D/UMWHZMa&#10;H71CPTDPyMHKP6A6yS04qP2MQ5dAXUsuYg1YzTz9rZrnlhkRa0FynLnS5P4fLP90/GKJrFA7SjTr&#10;UKIXMXjyFgaSBXZ643IMejYY5gc8DpGhUmeegH9zRMO+ZboR99ZC3wpWYXbzcDOZXB1xXAAp+49Q&#10;4TPs4CECDbXtAiCSQRAdVTpdlQmpcDy83awWi9sVJRx9y8V6vorSJSy/3DbW+fcCOhI2BbWofERn&#10;xyfnQzYsv4TE7EHJ6lEqFQ3blHtlyZGFLkmz9OaC7qZhSpO+oJtVthoJmPrc30F00mO7K9kVdJ2G&#10;b2zAQNs7XcVm9EyqcY8pK33mMVA3kuiHcjjrUkJ1QkYtjG2NY4ibFuwPSnps6YK67wdmBSXqg0ZV&#10;NvPlMsxANJar2wwNO/WUUw/THKEK6ikZt3s/zs3BWNm0+NLYBxruUclaRpKD5GNW57yxbSP35xEL&#10;czG1Y9SvH8HuJwAAAP//AwBQSwMEFAAGAAgAAAAhAPtM3djgAAAACgEAAA8AAABkcnMvZG93bnJl&#10;di54bWxMj8tOwzAQRfdI/IM1SGyq1mkk8mqcqgKxAoRoK9ZuPE0C8UPxJA1/j7uC5WiO7j233M66&#10;ZxMOvrNGwHoVAUNTW9WZRsDx8LzMgHmSRsneGhTwgx621e1NKQtlL+YDpz01LIQYX0gBLZErOPd1&#10;i1r6lXVowu9sBy0pnEPD1SAvIVz3PI6ihGvZmdDQSoePLdbf+1ELeE0+F+RoXBye3nfp9JW8ueML&#10;CXF/N+82wAhn+oPhqh/UoQpOJzsa5VkvYJnFDwEVEGc5sCuwTqOw7iQgT3PgVcn/T6h+AQAA//8D&#10;AFBLAQItABQABgAIAAAAIQC2gziS/gAAAOEBAAATAAAAAAAAAAAAAAAAAAAAAABbQ29udGVudF9U&#10;eXBlc10ueG1sUEsBAi0AFAAGAAgAAAAhADj9If/WAAAAlAEAAAsAAAAAAAAAAAAAAAAALwEAAF9y&#10;ZWxzLy5yZWxzUEsBAi0AFAAGAAgAAAAhAHpkehorAgAAUAQAAA4AAAAAAAAAAAAAAAAALgIAAGRy&#10;cy9lMm9Eb2MueG1sUEsBAi0AFAAGAAgAAAAhAPtM3djgAAAACgEAAA8AAAAAAAAAAAAAAAAAhQQA&#10;AGRycy9kb3ducmV2LnhtbFBLBQYAAAAABAAEAPMAAACSBQAAAAA=&#10;" fillcolor="#002060" strokecolor="#002060">
            <v:textbox>
              <w:txbxContent>
                <w:p w14:paraId="1435A2A1" w14:textId="77777777" w:rsidR="004641E1" w:rsidRPr="00456F4C" w:rsidRDefault="004641E1" w:rsidP="004641E1">
                  <w:pPr>
                    <w:shd w:val="clear" w:color="auto" w:fill="002060"/>
                    <w:jc w:val="center"/>
                    <w:rPr>
                      <w:b/>
                      <w:color w:val="FFFFFF" w:themeColor="background1"/>
                      <w:sz w:val="40"/>
                      <w:szCs w:val="44"/>
                    </w:rPr>
                  </w:pPr>
                  <w:r w:rsidRPr="00456F4C">
                    <w:rPr>
                      <w:b/>
                      <w:color w:val="FFFFFF" w:themeColor="background1"/>
                      <w:sz w:val="40"/>
                      <w:szCs w:val="44"/>
                    </w:rPr>
                    <w:t>Credit Report Security Freeze</w:t>
                  </w:r>
                </w:p>
                <w:p w14:paraId="68ACAAAA" w14:textId="77777777" w:rsidR="004641E1" w:rsidRDefault="004641E1"/>
              </w:txbxContent>
            </v:textbox>
          </v:shape>
        </w:pict>
      </w:r>
    </w:p>
    <w:p w14:paraId="7F52BF5B" w14:textId="77777777" w:rsidR="00E52C8B" w:rsidRDefault="00E52C8B"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p>
    <w:p w14:paraId="2483F794" w14:textId="77777777" w:rsidR="00C57D69" w:rsidRDefault="00C57D69"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p>
    <w:p w14:paraId="75BDA36E" w14:textId="77777777" w:rsidR="00697E25" w:rsidRDefault="00697E25" w:rsidP="00B8114D">
      <w:pPr>
        <w:shd w:val="clear" w:color="auto" w:fill="FFFFFF"/>
        <w:spacing w:before="100" w:beforeAutospacing="1" w:after="100" w:afterAutospacing="1" w:line="240" w:lineRule="auto"/>
        <w:rPr>
          <w:rFonts w:eastAsia="Times New Roman" w:cs="Times New Roman"/>
          <w:b/>
          <w:bCs/>
          <w:color w:val="000000"/>
          <w:sz w:val="28"/>
          <w:szCs w:val="28"/>
        </w:rPr>
      </w:pPr>
    </w:p>
    <w:p w14:paraId="0733BBC9"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456F4C">
        <w:rPr>
          <w:rFonts w:eastAsia="Times New Roman" w:cs="Times New Roman"/>
          <w:b/>
          <w:bCs/>
          <w:color w:val="000000"/>
          <w:sz w:val="28"/>
          <w:szCs w:val="28"/>
        </w:rPr>
        <w:t>What is a credit report security freeze?</w:t>
      </w:r>
      <w:r w:rsidRPr="00456F4C">
        <w:rPr>
          <w:rFonts w:eastAsia="Times New Roman" w:cs="Times New Roman"/>
          <w:color w:val="000000"/>
          <w:sz w:val="28"/>
          <w:szCs w:val="28"/>
        </w:rPr>
        <w:t xml:space="preserve"> </w:t>
      </w:r>
      <w:r w:rsidRPr="00456F4C">
        <w:rPr>
          <w:rFonts w:eastAsia="Times New Roman" w:cs="Times New Roman"/>
          <w:color w:val="000000"/>
          <w:sz w:val="28"/>
          <w:szCs w:val="28"/>
        </w:rPr>
        <w:br/>
      </w:r>
      <w:r w:rsidRPr="007538C4">
        <w:rPr>
          <w:rFonts w:eastAsia="Times New Roman" w:cs="Times New Roman"/>
          <w:color w:val="000000"/>
          <w:szCs w:val="21"/>
        </w:rPr>
        <w:t xml:space="preserve">A credit report security freeze generally allows a consumer to block access to </w:t>
      </w:r>
      <w:r w:rsidR="004641E1" w:rsidRPr="007538C4">
        <w:rPr>
          <w:rFonts w:eastAsia="Times New Roman" w:cs="Times New Roman"/>
          <w:color w:val="000000"/>
          <w:szCs w:val="21"/>
        </w:rPr>
        <w:t>his/</w:t>
      </w:r>
      <w:r w:rsidRPr="007538C4">
        <w:rPr>
          <w:rFonts w:eastAsia="Times New Roman" w:cs="Times New Roman"/>
          <w:color w:val="000000"/>
          <w:szCs w:val="21"/>
        </w:rPr>
        <w:t xml:space="preserve">her credit report by third parties (such as credit lenders) who are not exempted under law. </w:t>
      </w:r>
    </w:p>
    <w:p w14:paraId="66B7B534"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456F4C">
        <w:rPr>
          <w:rFonts w:eastAsia="Times New Roman" w:cs="Times New Roman"/>
          <w:b/>
          <w:bCs/>
          <w:color w:val="000000"/>
          <w:sz w:val="28"/>
          <w:szCs w:val="28"/>
        </w:rPr>
        <w:t>Who is eligible for a credit report freeze?</w:t>
      </w:r>
      <w:r w:rsidRPr="00456F4C">
        <w:rPr>
          <w:rFonts w:eastAsia="Times New Roman" w:cs="Times New Roman"/>
          <w:color w:val="000000"/>
          <w:sz w:val="28"/>
          <w:szCs w:val="28"/>
        </w:rPr>
        <w:t xml:space="preserve"> </w:t>
      </w:r>
      <w:r w:rsidRPr="00456F4C">
        <w:rPr>
          <w:rFonts w:eastAsia="Times New Roman" w:cs="Times New Roman"/>
          <w:color w:val="000000"/>
          <w:sz w:val="28"/>
          <w:szCs w:val="28"/>
        </w:rPr>
        <w:br/>
      </w:r>
      <w:r w:rsidRPr="007538C4">
        <w:rPr>
          <w:rFonts w:eastAsia="Times New Roman" w:cs="Times New Roman"/>
          <w:color w:val="000000"/>
          <w:szCs w:val="21"/>
        </w:rPr>
        <w:t xml:space="preserve">All Virginians have a right to obtain a freeze from the individual credit reporting agencies.  </w:t>
      </w:r>
    </w:p>
    <w:p w14:paraId="30AF8C05"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456F4C">
        <w:rPr>
          <w:rFonts w:eastAsia="Times New Roman" w:cs="Times New Roman"/>
          <w:b/>
          <w:bCs/>
          <w:color w:val="000000"/>
          <w:sz w:val="28"/>
          <w:szCs w:val="28"/>
        </w:rPr>
        <w:t>Why might I decide to place a freeze on my credit report?</w:t>
      </w:r>
      <w:r w:rsidRPr="00456F4C">
        <w:rPr>
          <w:rFonts w:eastAsia="Times New Roman" w:cs="Times New Roman"/>
          <w:color w:val="000000"/>
          <w:szCs w:val="21"/>
        </w:rPr>
        <w:t xml:space="preserve"> </w:t>
      </w:r>
      <w:r w:rsidRPr="00456F4C">
        <w:rPr>
          <w:rFonts w:eastAsia="Times New Roman" w:cs="Times New Roman"/>
          <w:color w:val="000000"/>
          <w:sz w:val="21"/>
          <w:szCs w:val="21"/>
        </w:rPr>
        <w:br/>
      </w:r>
      <w:r w:rsidRPr="007538C4">
        <w:rPr>
          <w:rFonts w:eastAsia="Times New Roman" w:cs="Times New Roman"/>
          <w:color w:val="000000"/>
          <w:szCs w:val="21"/>
        </w:rPr>
        <w:t xml:space="preserve">Unlike many identity theft protection methods which are only effective after identity theft has occurred, credit report freezes can help protect consumers from identity theft </w:t>
      </w:r>
      <w:r w:rsidRPr="007538C4">
        <w:rPr>
          <w:rFonts w:eastAsia="Times New Roman" w:cs="Times New Roman"/>
          <w:color w:val="000000"/>
          <w:szCs w:val="21"/>
          <w:u w:val="single"/>
        </w:rPr>
        <w:t>before</w:t>
      </w:r>
      <w:r w:rsidRPr="007538C4">
        <w:rPr>
          <w:rFonts w:eastAsia="Times New Roman" w:cs="Times New Roman"/>
          <w:color w:val="000000"/>
          <w:szCs w:val="21"/>
        </w:rPr>
        <w:t xml:space="preserve"> it happens.  </w:t>
      </w:r>
    </w:p>
    <w:p w14:paraId="599B6685"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7538C4">
        <w:rPr>
          <w:rFonts w:eastAsia="Times New Roman" w:cs="Times New Roman"/>
          <w:color w:val="000000"/>
          <w:szCs w:val="21"/>
        </w:rPr>
        <w:t xml:space="preserve">Credit report freezes are designed to prevent thieves from opening new accounts in the consumer’s name.  </w:t>
      </w:r>
      <w:r w:rsidR="004641E1" w:rsidRPr="007538C4">
        <w:rPr>
          <w:rFonts w:eastAsia="Times New Roman" w:cs="Times New Roman"/>
          <w:color w:val="000000"/>
          <w:szCs w:val="21"/>
        </w:rPr>
        <w:t>G</w:t>
      </w:r>
      <w:r w:rsidRPr="007538C4">
        <w:rPr>
          <w:rFonts w:eastAsia="Times New Roman" w:cs="Times New Roman"/>
          <w:color w:val="000000"/>
          <w:szCs w:val="21"/>
        </w:rPr>
        <w:t xml:space="preserve">enerally credit </w:t>
      </w:r>
      <w:r w:rsidR="004641E1" w:rsidRPr="007538C4">
        <w:rPr>
          <w:rFonts w:eastAsia="Times New Roman" w:cs="Times New Roman"/>
          <w:color w:val="000000"/>
          <w:szCs w:val="21"/>
        </w:rPr>
        <w:t xml:space="preserve">isn’t extended </w:t>
      </w:r>
      <w:r w:rsidRPr="007538C4">
        <w:rPr>
          <w:rFonts w:eastAsia="Times New Roman" w:cs="Times New Roman"/>
          <w:color w:val="000000"/>
          <w:szCs w:val="21"/>
        </w:rPr>
        <w:t>to an indivi</w:t>
      </w:r>
      <w:r w:rsidR="004641E1" w:rsidRPr="007538C4">
        <w:rPr>
          <w:rFonts w:eastAsia="Times New Roman" w:cs="Times New Roman"/>
          <w:color w:val="000000"/>
          <w:szCs w:val="21"/>
        </w:rPr>
        <w:t>dual without first checking his/</w:t>
      </w:r>
      <w:r w:rsidRPr="007538C4">
        <w:rPr>
          <w:rFonts w:eastAsia="Times New Roman" w:cs="Times New Roman"/>
          <w:color w:val="000000"/>
          <w:szCs w:val="21"/>
        </w:rPr>
        <w:t xml:space="preserve"> her credit report.  Since a freeze block</w:t>
      </w:r>
      <w:r w:rsidR="004641E1" w:rsidRPr="007538C4">
        <w:rPr>
          <w:rFonts w:eastAsia="Times New Roman" w:cs="Times New Roman"/>
          <w:color w:val="000000"/>
          <w:szCs w:val="21"/>
        </w:rPr>
        <w:t>s third parties from accessing your</w:t>
      </w:r>
      <w:r w:rsidRPr="007538C4">
        <w:rPr>
          <w:rFonts w:eastAsia="Times New Roman" w:cs="Times New Roman"/>
          <w:color w:val="000000"/>
          <w:szCs w:val="21"/>
        </w:rPr>
        <w:t xml:space="preserve"> credit report, it makes it very difficult for a potential identity thief to fraudulently open a new account in your name.  </w:t>
      </w:r>
    </w:p>
    <w:p w14:paraId="39B8D9D4"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456F4C">
        <w:rPr>
          <w:rFonts w:eastAsia="Times New Roman" w:cs="Times New Roman"/>
          <w:b/>
          <w:bCs/>
          <w:color w:val="000000"/>
          <w:sz w:val="28"/>
          <w:szCs w:val="28"/>
        </w:rPr>
        <w:t>What are the downsides or limits of placing a freeze on my credit report?</w:t>
      </w:r>
      <w:r w:rsidRPr="00456F4C">
        <w:rPr>
          <w:rFonts w:eastAsia="Times New Roman" w:cs="Times New Roman"/>
          <w:color w:val="000000"/>
          <w:szCs w:val="21"/>
        </w:rPr>
        <w:t xml:space="preserve"> </w:t>
      </w:r>
      <w:r w:rsidRPr="00456F4C">
        <w:rPr>
          <w:rFonts w:eastAsia="Times New Roman" w:cs="Times New Roman"/>
          <w:color w:val="000000"/>
          <w:szCs w:val="21"/>
        </w:rPr>
        <w:br/>
      </w:r>
      <w:r w:rsidRPr="007538C4">
        <w:rPr>
          <w:rFonts w:eastAsia="Times New Roman" w:cs="Times New Roman"/>
          <w:color w:val="000000"/>
          <w:szCs w:val="21"/>
        </w:rPr>
        <w:t>F</w:t>
      </w:r>
      <w:r w:rsidR="005E6840" w:rsidRPr="007538C4">
        <w:rPr>
          <w:rFonts w:eastAsia="Times New Roman" w:cs="Times New Roman"/>
          <w:color w:val="000000"/>
          <w:szCs w:val="21"/>
        </w:rPr>
        <w:t xml:space="preserve">reezes may </w:t>
      </w:r>
      <w:r w:rsidR="004641E1" w:rsidRPr="007538C4">
        <w:rPr>
          <w:rFonts w:eastAsia="Times New Roman" w:cs="Times New Roman"/>
          <w:color w:val="000000"/>
          <w:szCs w:val="21"/>
        </w:rPr>
        <w:t>delay, or</w:t>
      </w:r>
      <w:r w:rsidRPr="007538C4">
        <w:rPr>
          <w:rFonts w:eastAsia="Times New Roman" w:cs="Times New Roman"/>
          <w:color w:val="000000"/>
          <w:szCs w:val="21"/>
        </w:rPr>
        <w:t xml:space="preserve"> prohibit the timely approval of new loans, credit, mortgages, government services or payments, insurance, rental housing, employment, investments, licenses, cellular phone</w:t>
      </w:r>
      <w:r w:rsidR="00C57D69" w:rsidRPr="007538C4">
        <w:rPr>
          <w:rFonts w:eastAsia="Times New Roman" w:cs="Times New Roman"/>
          <w:color w:val="000000"/>
          <w:szCs w:val="21"/>
        </w:rPr>
        <w:t xml:space="preserve"> and</w:t>
      </w:r>
      <w:r w:rsidRPr="007538C4">
        <w:rPr>
          <w:rFonts w:eastAsia="Times New Roman" w:cs="Times New Roman"/>
          <w:color w:val="000000"/>
          <w:szCs w:val="21"/>
        </w:rPr>
        <w:t xml:space="preserve"> utility service, digital signature, Internet credit card transactions, and</w:t>
      </w:r>
      <w:r w:rsidR="00C57D69" w:rsidRPr="007538C4">
        <w:rPr>
          <w:rFonts w:eastAsia="Times New Roman" w:cs="Times New Roman"/>
          <w:color w:val="000000"/>
          <w:szCs w:val="21"/>
        </w:rPr>
        <w:t xml:space="preserve"> extension of</w:t>
      </w:r>
      <w:r w:rsidR="005E6840" w:rsidRPr="007538C4">
        <w:rPr>
          <w:rFonts w:eastAsia="Times New Roman" w:cs="Times New Roman"/>
          <w:color w:val="000000"/>
          <w:szCs w:val="21"/>
        </w:rPr>
        <w:t xml:space="preserve"> in-store credit.  </w:t>
      </w:r>
      <w:r w:rsidRPr="007538C4">
        <w:rPr>
          <w:rFonts w:eastAsia="Times New Roman" w:cs="Times New Roman"/>
          <w:color w:val="000000"/>
          <w:szCs w:val="21"/>
        </w:rPr>
        <w:t>Since there may be a delay between the receipt of your request and the actual lift or removal, it is important to plan ahead to ensure that your credit report is accessible for purchases and other significant transactions.  </w:t>
      </w:r>
    </w:p>
    <w:p w14:paraId="038967DF"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7538C4">
        <w:rPr>
          <w:rFonts w:eastAsia="Times New Roman" w:cs="Times New Roman"/>
          <w:color w:val="000000"/>
          <w:szCs w:val="21"/>
        </w:rPr>
        <w:t>In addition, a freeze will not prevent a thief from fraudulently using your existing credit card or bank accounts.  Therefore, you should continue to re</w:t>
      </w:r>
      <w:r w:rsidR="00456F4C" w:rsidRPr="007538C4">
        <w:rPr>
          <w:rFonts w:eastAsia="Times New Roman" w:cs="Times New Roman"/>
          <w:color w:val="000000"/>
          <w:szCs w:val="21"/>
        </w:rPr>
        <w:t xml:space="preserve">gularly check your monthly </w:t>
      </w:r>
      <w:r w:rsidRPr="007538C4">
        <w:rPr>
          <w:rFonts w:eastAsia="Times New Roman" w:cs="Times New Roman"/>
          <w:color w:val="000000"/>
          <w:szCs w:val="21"/>
        </w:rPr>
        <w:t>account and credit card statements for signs of any suspicious activity.</w:t>
      </w:r>
    </w:p>
    <w:p w14:paraId="49627EEC" w14:textId="77777777" w:rsidR="00B8114D" w:rsidRPr="007538C4" w:rsidRDefault="004641E1" w:rsidP="00B8114D">
      <w:pPr>
        <w:shd w:val="clear" w:color="auto" w:fill="FFFFFF"/>
        <w:spacing w:before="100" w:beforeAutospacing="1" w:after="100" w:afterAutospacing="1" w:line="240" w:lineRule="auto"/>
        <w:rPr>
          <w:rFonts w:eastAsia="Times New Roman" w:cs="Times New Roman"/>
          <w:color w:val="000000"/>
          <w:szCs w:val="21"/>
        </w:rPr>
      </w:pPr>
      <w:r w:rsidRPr="00456F4C">
        <w:rPr>
          <w:rFonts w:eastAsia="Times New Roman" w:cs="Times New Roman"/>
          <w:b/>
          <w:bCs/>
          <w:color w:val="000000"/>
          <w:sz w:val="28"/>
          <w:szCs w:val="28"/>
        </w:rPr>
        <w:t>H</w:t>
      </w:r>
      <w:r w:rsidR="00B8114D" w:rsidRPr="00456F4C">
        <w:rPr>
          <w:rFonts w:eastAsia="Times New Roman" w:cs="Times New Roman"/>
          <w:b/>
          <w:bCs/>
          <w:color w:val="000000"/>
          <w:sz w:val="28"/>
          <w:szCs w:val="28"/>
        </w:rPr>
        <w:t>ow do I place a freeze on my credit report?</w:t>
      </w:r>
      <w:r w:rsidR="00B8114D" w:rsidRPr="00456F4C">
        <w:rPr>
          <w:rFonts w:eastAsia="Times New Roman" w:cs="Times New Roman"/>
          <w:color w:val="000000"/>
          <w:sz w:val="28"/>
          <w:szCs w:val="28"/>
        </w:rPr>
        <w:t xml:space="preserve"> </w:t>
      </w:r>
      <w:r w:rsidR="00B8114D" w:rsidRPr="00456F4C">
        <w:rPr>
          <w:rFonts w:eastAsia="Times New Roman" w:cs="Times New Roman"/>
          <w:color w:val="000000"/>
          <w:sz w:val="28"/>
          <w:szCs w:val="28"/>
        </w:rPr>
        <w:br/>
      </w:r>
      <w:r w:rsidR="00B8114D" w:rsidRPr="007538C4">
        <w:rPr>
          <w:rFonts w:eastAsia="Times New Roman" w:cs="Times New Roman"/>
          <w:color w:val="000000"/>
          <w:szCs w:val="21"/>
        </w:rPr>
        <w:t xml:space="preserve">Send a written request via certified mail or by using another method authorized by the credit reporting agency.  The “Security Freeze” law does not specify what information the credit reporting agencies may require to place a freeze on your credit reports.  Thus, each credit reporting agency has its own procedures in place.  Check the individual agency’s </w:t>
      </w:r>
      <w:r w:rsidRPr="007538C4">
        <w:rPr>
          <w:rFonts w:eastAsia="Times New Roman" w:cs="Times New Roman"/>
          <w:color w:val="000000"/>
          <w:szCs w:val="21"/>
        </w:rPr>
        <w:t xml:space="preserve">(Equifax, Experian, TransUnion) </w:t>
      </w:r>
      <w:r w:rsidR="00B8114D" w:rsidRPr="007538C4">
        <w:rPr>
          <w:rFonts w:eastAsia="Times New Roman" w:cs="Times New Roman"/>
          <w:color w:val="000000"/>
          <w:szCs w:val="21"/>
        </w:rPr>
        <w:t xml:space="preserve">website for specific instructions on how to obtain a freeze.      </w:t>
      </w:r>
    </w:p>
    <w:p w14:paraId="62AC0451" w14:textId="77777777" w:rsidR="00456F4C" w:rsidRDefault="00B8114D" w:rsidP="00456F4C">
      <w:pPr>
        <w:shd w:val="clear" w:color="auto" w:fill="FFFFFF"/>
        <w:spacing w:before="100" w:beforeAutospacing="1" w:after="0" w:line="240" w:lineRule="auto"/>
        <w:rPr>
          <w:rFonts w:eastAsia="Times New Roman" w:cs="Times New Roman"/>
          <w:b/>
          <w:bCs/>
          <w:color w:val="000000"/>
          <w:szCs w:val="21"/>
        </w:rPr>
      </w:pPr>
      <w:r w:rsidRPr="00456F4C">
        <w:rPr>
          <w:rFonts w:eastAsia="Times New Roman" w:cs="Times New Roman"/>
          <w:b/>
          <w:bCs/>
          <w:color w:val="000000"/>
          <w:sz w:val="28"/>
          <w:szCs w:val="28"/>
        </w:rPr>
        <w:t xml:space="preserve">Do I have to contact </w:t>
      </w:r>
      <w:r w:rsidR="004641E1" w:rsidRPr="00456F4C">
        <w:rPr>
          <w:rFonts w:eastAsia="Times New Roman" w:cs="Times New Roman"/>
          <w:b/>
          <w:bCs/>
          <w:color w:val="000000"/>
          <w:sz w:val="28"/>
          <w:szCs w:val="28"/>
        </w:rPr>
        <w:t>each bureau</w:t>
      </w:r>
      <w:r w:rsidRPr="00456F4C">
        <w:rPr>
          <w:rFonts w:eastAsia="Times New Roman" w:cs="Times New Roman"/>
          <w:b/>
          <w:bCs/>
          <w:color w:val="000000"/>
          <w:sz w:val="28"/>
          <w:szCs w:val="28"/>
        </w:rPr>
        <w:t xml:space="preserve"> (Equifax, Experian, TransUnion) or just one?</w:t>
      </w:r>
      <w:r w:rsidR="004641E1" w:rsidRPr="00456F4C">
        <w:rPr>
          <w:rFonts w:eastAsia="Times New Roman" w:cs="Times New Roman"/>
          <w:b/>
          <w:bCs/>
          <w:color w:val="000000"/>
          <w:szCs w:val="21"/>
        </w:rPr>
        <w:t xml:space="preserve">  </w:t>
      </w:r>
      <w:r w:rsidRPr="00456F4C">
        <w:rPr>
          <w:rFonts w:eastAsia="Times New Roman" w:cs="Times New Roman"/>
          <w:b/>
          <w:bCs/>
          <w:color w:val="000000"/>
          <w:szCs w:val="21"/>
        </w:rPr>
        <w:t xml:space="preserve"> </w:t>
      </w:r>
    </w:p>
    <w:p w14:paraId="7C2E766E" w14:textId="77777777" w:rsidR="00B8114D" w:rsidRPr="007538C4" w:rsidRDefault="00B8114D" w:rsidP="00456F4C">
      <w:pPr>
        <w:shd w:val="clear" w:color="auto" w:fill="FFFFFF"/>
        <w:spacing w:after="100" w:afterAutospacing="1" w:line="240" w:lineRule="auto"/>
        <w:rPr>
          <w:rFonts w:eastAsia="Times New Roman" w:cs="Times New Roman"/>
          <w:b/>
          <w:bCs/>
          <w:color w:val="000000"/>
          <w:sz w:val="24"/>
          <w:szCs w:val="21"/>
        </w:rPr>
      </w:pPr>
      <w:r w:rsidRPr="007538C4">
        <w:rPr>
          <w:rFonts w:eastAsia="Times New Roman" w:cs="Times New Roman"/>
          <w:color w:val="000000"/>
          <w:szCs w:val="21"/>
        </w:rPr>
        <w:t>You must contact each credit reporting agency with which you wish to place a freeze. </w:t>
      </w:r>
    </w:p>
    <w:p w14:paraId="1D826674" w14:textId="77777777" w:rsidR="00697E25" w:rsidRDefault="00697E25" w:rsidP="00B8114D">
      <w:pPr>
        <w:shd w:val="clear" w:color="auto" w:fill="FFFFFF"/>
        <w:spacing w:before="100" w:beforeAutospacing="1" w:after="100" w:afterAutospacing="1" w:line="240" w:lineRule="auto"/>
        <w:rPr>
          <w:rFonts w:eastAsia="Times New Roman" w:cs="Times New Roman"/>
          <w:b/>
          <w:bCs/>
          <w:color w:val="000000"/>
          <w:sz w:val="28"/>
          <w:szCs w:val="28"/>
        </w:rPr>
      </w:pPr>
    </w:p>
    <w:p w14:paraId="2EA139CC" w14:textId="77777777" w:rsidR="00697E25" w:rsidRDefault="00697E25" w:rsidP="00B8114D">
      <w:pPr>
        <w:shd w:val="clear" w:color="auto" w:fill="FFFFFF"/>
        <w:spacing w:before="100" w:beforeAutospacing="1" w:after="100" w:afterAutospacing="1" w:line="240" w:lineRule="auto"/>
        <w:rPr>
          <w:rFonts w:eastAsia="Times New Roman" w:cs="Times New Roman"/>
          <w:b/>
          <w:bCs/>
          <w:color w:val="000000"/>
          <w:sz w:val="28"/>
          <w:szCs w:val="28"/>
        </w:rPr>
      </w:pPr>
    </w:p>
    <w:p w14:paraId="7A330FC9"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456F4C">
        <w:rPr>
          <w:rFonts w:eastAsia="Times New Roman" w:cs="Times New Roman"/>
          <w:b/>
          <w:bCs/>
          <w:color w:val="000000"/>
          <w:sz w:val="28"/>
          <w:szCs w:val="28"/>
        </w:rPr>
        <w:t>How do I temporarily lift the freeze once it is placed on my credit report?</w:t>
      </w:r>
      <w:r w:rsidRPr="00456F4C">
        <w:rPr>
          <w:rFonts w:eastAsia="Times New Roman" w:cs="Times New Roman"/>
          <w:color w:val="000000"/>
          <w:sz w:val="28"/>
          <w:szCs w:val="28"/>
        </w:rPr>
        <w:t xml:space="preserve"> </w:t>
      </w:r>
      <w:r w:rsidRPr="00456F4C">
        <w:rPr>
          <w:rFonts w:eastAsia="Times New Roman" w:cs="Times New Roman"/>
          <w:color w:val="000000"/>
          <w:sz w:val="28"/>
          <w:szCs w:val="28"/>
        </w:rPr>
        <w:br/>
      </w:r>
      <w:r w:rsidRPr="007538C4">
        <w:rPr>
          <w:rFonts w:eastAsia="Times New Roman" w:cs="Times New Roman"/>
          <w:color w:val="000000"/>
          <w:szCs w:val="21"/>
        </w:rPr>
        <w:t xml:space="preserve">A temporary lift allows </w:t>
      </w:r>
      <w:r w:rsidR="005E6840" w:rsidRPr="007538C4">
        <w:rPr>
          <w:rFonts w:eastAsia="Times New Roman" w:cs="Times New Roman"/>
          <w:color w:val="000000"/>
          <w:szCs w:val="21"/>
        </w:rPr>
        <w:t xml:space="preserve">the </w:t>
      </w:r>
      <w:r w:rsidRPr="007538C4">
        <w:rPr>
          <w:rFonts w:eastAsia="Times New Roman" w:cs="Times New Roman"/>
          <w:color w:val="000000"/>
          <w:szCs w:val="21"/>
        </w:rPr>
        <w:t xml:space="preserve">credit </w:t>
      </w:r>
      <w:r w:rsidR="005E6840" w:rsidRPr="007538C4">
        <w:rPr>
          <w:rFonts w:eastAsia="Times New Roman" w:cs="Times New Roman"/>
          <w:color w:val="000000"/>
          <w:szCs w:val="21"/>
        </w:rPr>
        <w:t xml:space="preserve">reporting </w:t>
      </w:r>
      <w:r w:rsidRPr="007538C4">
        <w:rPr>
          <w:rFonts w:eastAsia="Times New Roman" w:cs="Times New Roman"/>
          <w:color w:val="000000"/>
          <w:szCs w:val="21"/>
        </w:rPr>
        <w:t xml:space="preserve">agency to release your credit report to a specified party (specific </w:t>
      </w:r>
      <w:r w:rsidR="005E6840" w:rsidRPr="007538C4">
        <w:rPr>
          <w:rFonts w:eastAsia="Times New Roman" w:cs="Times New Roman"/>
          <w:color w:val="000000"/>
          <w:szCs w:val="21"/>
        </w:rPr>
        <w:t>third</w:t>
      </w:r>
      <w:r w:rsidRPr="007538C4">
        <w:rPr>
          <w:rFonts w:eastAsia="Times New Roman" w:cs="Times New Roman"/>
          <w:color w:val="000000"/>
          <w:szCs w:val="21"/>
        </w:rPr>
        <w:t xml:space="preserve"> party lift)</w:t>
      </w:r>
      <w:r w:rsidR="005E6840" w:rsidRPr="007538C4">
        <w:rPr>
          <w:rFonts w:eastAsia="Times New Roman" w:cs="Times New Roman"/>
          <w:color w:val="000000"/>
          <w:szCs w:val="21"/>
        </w:rPr>
        <w:t>,</w:t>
      </w:r>
      <w:r w:rsidRPr="007538C4">
        <w:rPr>
          <w:rFonts w:eastAsia="Times New Roman" w:cs="Times New Roman"/>
          <w:color w:val="000000"/>
          <w:szCs w:val="21"/>
        </w:rPr>
        <w:t xml:space="preserve"> or to all third parties for a specified period of time (global lift).</w:t>
      </w:r>
    </w:p>
    <w:p w14:paraId="13F19991"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7538C4">
        <w:rPr>
          <w:rFonts w:eastAsia="Times New Roman" w:cs="Times New Roman"/>
          <w:color w:val="000000"/>
          <w:szCs w:val="21"/>
        </w:rPr>
        <w:t>To obtain a temporary lift, you must contact the credit reporting agency with which you placed the freeze and provide proper identification and the unique personal identification number (PIN) or password assigned to you.   You also must indicate the amount of time that you would like the freeze to be lifted or the specific party that can access the report.  Credit reporting agencies generally are required to be able to lift a freeze within 15 minutes of their receipt of an electronic request.</w:t>
      </w:r>
    </w:p>
    <w:p w14:paraId="369D19C8"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456F4C">
        <w:rPr>
          <w:rFonts w:eastAsia="Times New Roman" w:cs="Times New Roman"/>
          <w:b/>
          <w:bCs/>
          <w:color w:val="000000"/>
          <w:sz w:val="28"/>
          <w:szCs w:val="28"/>
        </w:rPr>
        <w:t>How do I permanently remove the freeze once it is placed on my credit report?</w:t>
      </w:r>
      <w:r w:rsidRPr="00456F4C">
        <w:rPr>
          <w:rFonts w:eastAsia="Times New Roman" w:cs="Times New Roman"/>
          <w:color w:val="000000"/>
          <w:sz w:val="28"/>
          <w:szCs w:val="28"/>
        </w:rPr>
        <w:t xml:space="preserve"> </w:t>
      </w:r>
      <w:r w:rsidRPr="00456F4C">
        <w:rPr>
          <w:rFonts w:eastAsia="Times New Roman" w:cs="Times New Roman"/>
          <w:color w:val="000000"/>
          <w:sz w:val="28"/>
          <w:szCs w:val="28"/>
        </w:rPr>
        <w:br/>
      </w:r>
      <w:r w:rsidRPr="007538C4">
        <w:rPr>
          <w:rFonts w:eastAsia="Times New Roman" w:cs="Times New Roman"/>
          <w:color w:val="000000"/>
          <w:szCs w:val="21"/>
        </w:rPr>
        <w:t>You must contact each reporting agency w</w:t>
      </w:r>
      <w:r w:rsidR="005E6840" w:rsidRPr="007538C4">
        <w:rPr>
          <w:rFonts w:eastAsia="Times New Roman" w:cs="Times New Roman"/>
          <w:color w:val="000000"/>
          <w:szCs w:val="21"/>
        </w:rPr>
        <w:t>ith which you placed the freeze.</w:t>
      </w:r>
      <w:r w:rsidRPr="007538C4">
        <w:rPr>
          <w:rFonts w:eastAsia="Times New Roman" w:cs="Times New Roman"/>
          <w:color w:val="000000"/>
          <w:szCs w:val="21"/>
        </w:rPr>
        <w:t>  You will need your PIN</w:t>
      </w:r>
      <w:r w:rsidR="005E6840" w:rsidRPr="007538C4">
        <w:rPr>
          <w:rFonts w:eastAsia="Times New Roman" w:cs="Times New Roman"/>
          <w:color w:val="000000"/>
          <w:szCs w:val="21"/>
        </w:rPr>
        <w:t xml:space="preserve"> or password for</w:t>
      </w:r>
      <w:r w:rsidRPr="007538C4">
        <w:rPr>
          <w:rFonts w:eastAsia="Times New Roman" w:cs="Times New Roman"/>
          <w:color w:val="000000"/>
          <w:szCs w:val="21"/>
        </w:rPr>
        <w:t xml:space="preserve"> the request.  It may take up to 3 days to remove the freeze.</w:t>
      </w:r>
    </w:p>
    <w:p w14:paraId="43F2D9C9"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456F4C">
        <w:rPr>
          <w:rFonts w:eastAsia="Times New Roman" w:cs="Times New Roman"/>
          <w:b/>
          <w:bCs/>
          <w:color w:val="000000"/>
          <w:sz w:val="28"/>
          <w:szCs w:val="28"/>
        </w:rPr>
        <w:t>How much does it cost to place, lift, or remove a freeze on my credit report?</w:t>
      </w:r>
      <w:r w:rsidRPr="00456F4C">
        <w:rPr>
          <w:rFonts w:eastAsia="Times New Roman" w:cs="Times New Roman"/>
          <w:color w:val="000000"/>
          <w:sz w:val="28"/>
          <w:szCs w:val="28"/>
        </w:rPr>
        <w:t xml:space="preserve"> </w:t>
      </w:r>
      <w:r w:rsidRPr="00456F4C">
        <w:rPr>
          <w:rFonts w:eastAsia="Times New Roman" w:cs="Times New Roman"/>
          <w:color w:val="000000"/>
          <w:sz w:val="28"/>
          <w:szCs w:val="28"/>
        </w:rPr>
        <w:br/>
      </w:r>
      <w:r w:rsidRPr="007538C4">
        <w:rPr>
          <w:rFonts w:eastAsia="Times New Roman" w:cs="Times New Roman"/>
          <w:color w:val="000000"/>
          <w:szCs w:val="21"/>
        </w:rPr>
        <w:t xml:space="preserve">If you are a victim of identity theft, the freeze may be placed, lifted, or removed for free.  </w:t>
      </w:r>
    </w:p>
    <w:p w14:paraId="5699BC79"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color w:val="000000"/>
          <w:szCs w:val="21"/>
        </w:rPr>
      </w:pPr>
      <w:r w:rsidRPr="007538C4">
        <w:rPr>
          <w:rFonts w:eastAsia="Times New Roman" w:cs="Times New Roman"/>
          <w:color w:val="000000"/>
          <w:szCs w:val="21"/>
        </w:rPr>
        <w:t xml:space="preserve">If you are not a victim of identity theft, credit reporting agencies are permitted by statute to charge you a fee to place the security freeze.  The “Security Freeze” law does not authorize credit reporting agencies to charge fees for temporary lifts or removals of security freezes. </w:t>
      </w:r>
    </w:p>
    <w:p w14:paraId="62E06098" w14:textId="77777777" w:rsidR="00B8114D" w:rsidRPr="007538C4" w:rsidRDefault="00B8114D" w:rsidP="00B8114D">
      <w:pPr>
        <w:shd w:val="clear" w:color="auto" w:fill="FFFFFF"/>
        <w:spacing w:before="100" w:beforeAutospacing="1" w:after="100" w:afterAutospacing="1" w:line="240" w:lineRule="auto"/>
        <w:rPr>
          <w:rFonts w:eastAsia="Times New Roman" w:cs="Times New Roman"/>
          <w:szCs w:val="21"/>
        </w:rPr>
      </w:pPr>
      <w:r w:rsidRPr="00456F4C">
        <w:rPr>
          <w:rFonts w:eastAsia="Times New Roman" w:cs="Times New Roman"/>
          <w:b/>
          <w:bCs/>
          <w:color w:val="000000"/>
          <w:sz w:val="28"/>
          <w:szCs w:val="28"/>
        </w:rPr>
        <w:t>Can I still access my credit report even though there is a freeze?</w:t>
      </w:r>
      <w:r w:rsidRPr="00456F4C">
        <w:rPr>
          <w:rFonts w:eastAsia="Times New Roman" w:cs="Times New Roman"/>
          <w:color w:val="000000"/>
          <w:sz w:val="28"/>
          <w:szCs w:val="28"/>
        </w:rPr>
        <w:t xml:space="preserve"> </w:t>
      </w:r>
      <w:r w:rsidRPr="00456F4C">
        <w:rPr>
          <w:rFonts w:eastAsia="Times New Roman" w:cs="Times New Roman"/>
          <w:color w:val="000000"/>
          <w:sz w:val="28"/>
          <w:szCs w:val="28"/>
        </w:rPr>
        <w:br/>
      </w:r>
      <w:r w:rsidRPr="007538C4">
        <w:rPr>
          <w:rFonts w:eastAsia="Times New Roman" w:cs="Times New Roman"/>
          <w:color w:val="000000"/>
          <w:szCs w:val="21"/>
        </w:rPr>
        <w:t xml:space="preserve">You may still get your free annual credit report or purchase a copy of your report or score.  Placing the freeze does not affect your ability to obtain the report and it does not affect your credit score.  Obtaining the free annual report is one way to find out if you have become the victim of identity theft.  You can obtain your free annual report by going to: </w:t>
      </w:r>
      <w:r w:rsidR="00456F4C" w:rsidRPr="007538C4">
        <w:rPr>
          <w:rFonts w:eastAsia="Times New Roman" w:cs="Times New Roman"/>
          <w:i/>
          <w:szCs w:val="21"/>
        </w:rPr>
        <w:t>www.annualcreditreport.com</w:t>
      </w:r>
      <w:r w:rsidRPr="007538C4">
        <w:rPr>
          <w:rFonts w:eastAsia="Times New Roman" w:cs="Times New Roman"/>
          <w:szCs w:val="21"/>
        </w:rPr>
        <w:t>.</w:t>
      </w:r>
    </w:p>
    <w:p w14:paraId="54E6A3F9" w14:textId="77777777" w:rsidR="00B8114D" w:rsidRPr="00456F4C" w:rsidRDefault="004641E1" w:rsidP="00B8114D">
      <w:pPr>
        <w:shd w:val="clear" w:color="auto" w:fill="FFFFFF"/>
        <w:spacing w:before="100" w:beforeAutospacing="1" w:after="100" w:afterAutospacing="1" w:line="240" w:lineRule="auto"/>
        <w:rPr>
          <w:rFonts w:eastAsia="Times New Roman" w:cs="Times New Roman"/>
          <w:color w:val="000000"/>
          <w:sz w:val="21"/>
          <w:szCs w:val="21"/>
        </w:rPr>
      </w:pPr>
      <w:r w:rsidRPr="00456F4C">
        <w:rPr>
          <w:rFonts w:eastAsia="Times New Roman" w:cs="Times New Roman"/>
          <w:b/>
          <w:bCs/>
          <w:color w:val="000000"/>
          <w:sz w:val="28"/>
          <w:szCs w:val="28"/>
        </w:rPr>
        <w:t>Can m</w:t>
      </w:r>
      <w:r w:rsidR="00B8114D" w:rsidRPr="00456F4C">
        <w:rPr>
          <w:rFonts w:eastAsia="Times New Roman" w:cs="Times New Roman"/>
          <w:b/>
          <w:bCs/>
          <w:color w:val="000000"/>
          <w:sz w:val="28"/>
          <w:szCs w:val="28"/>
        </w:rPr>
        <w:t>y credi</w:t>
      </w:r>
      <w:r w:rsidR="00BB3C8D" w:rsidRPr="00456F4C">
        <w:rPr>
          <w:rFonts w:eastAsia="Times New Roman" w:cs="Times New Roman"/>
          <w:b/>
          <w:bCs/>
          <w:color w:val="000000"/>
          <w:sz w:val="28"/>
          <w:szCs w:val="28"/>
        </w:rPr>
        <w:t>t report be provided to another party while I have a</w:t>
      </w:r>
      <w:r w:rsidR="00B8114D" w:rsidRPr="00456F4C">
        <w:rPr>
          <w:rFonts w:eastAsia="Times New Roman" w:cs="Times New Roman"/>
          <w:b/>
          <w:bCs/>
          <w:color w:val="000000"/>
          <w:sz w:val="28"/>
          <w:szCs w:val="28"/>
        </w:rPr>
        <w:t xml:space="preserve"> credit freeze?  </w:t>
      </w:r>
      <w:r w:rsidR="00B8114D" w:rsidRPr="00456F4C">
        <w:rPr>
          <w:rFonts w:eastAsia="Times New Roman" w:cs="Times New Roman"/>
          <w:color w:val="000000"/>
          <w:sz w:val="28"/>
          <w:szCs w:val="28"/>
        </w:rPr>
        <w:br/>
      </w:r>
      <w:r w:rsidR="00B8114D" w:rsidRPr="007538C4">
        <w:rPr>
          <w:rFonts w:eastAsia="Times New Roman" w:cs="Times New Roman"/>
          <w:color w:val="000000"/>
          <w:szCs w:val="21"/>
        </w:rPr>
        <w:t xml:space="preserve">Yes, there are certain exceptions provided under law.  These include:  </w:t>
      </w:r>
    </w:p>
    <w:p w14:paraId="2F2D71DB" w14:textId="77777777" w:rsidR="00B8114D" w:rsidRPr="007538C4" w:rsidRDefault="00B8114D" w:rsidP="00B8114D">
      <w:pPr>
        <w:pStyle w:val="ListParagraph"/>
        <w:numPr>
          <w:ilvl w:val="0"/>
          <w:numId w:val="3"/>
        </w:numPr>
        <w:shd w:val="clear" w:color="auto" w:fill="FFFFFF"/>
        <w:spacing w:before="100" w:beforeAutospacing="1" w:after="100" w:afterAutospacing="1" w:line="240" w:lineRule="auto"/>
        <w:rPr>
          <w:rFonts w:eastAsia="Times New Roman" w:cs="Times New Roman"/>
          <w:color w:val="000000"/>
          <w:szCs w:val="21"/>
        </w:rPr>
      </w:pPr>
      <w:r w:rsidRPr="007538C4">
        <w:rPr>
          <w:rFonts w:eastAsia="Times New Roman" w:cs="Times New Roman"/>
          <w:color w:val="000000"/>
          <w:szCs w:val="21"/>
        </w:rPr>
        <w:t>Companies with which you have an existing account (e.g., your mortgage, credit card, or cell phone company, or their collection agencies)</w:t>
      </w:r>
    </w:p>
    <w:p w14:paraId="7D75B5B2" w14:textId="77777777" w:rsidR="00B8114D" w:rsidRPr="007538C4" w:rsidRDefault="00B8114D" w:rsidP="00B8114D">
      <w:pPr>
        <w:numPr>
          <w:ilvl w:val="0"/>
          <w:numId w:val="3"/>
        </w:numPr>
        <w:shd w:val="clear" w:color="auto" w:fill="FFFFFF"/>
        <w:spacing w:before="100" w:beforeAutospacing="1" w:after="100" w:afterAutospacing="1" w:line="240" w:lineRule="auto"/>
        <w:jc w:val="both"/>
        <w:rPr>
          <w:rFonts w:eastAsia="Times New Roman" w:cs="Times New Roman"/>
          <w:color w:val="000000"/>
          <w:szCs w:val="21"/>
        </w:rPr>
      </w:pPr>
      <w:r w:rsidRPr="007538C4">
        <w:rPr>
          <w:rFonts w:eastAsia="Times New Roman" w:cs="Times New Roman"/>
          <w:color w:val="000000"/>
          <w:szCs w:val="21"/>
        </w:rPr>
        <w:t xml:space="preserve">Any person or entity using the report with your permission to extend credit </w:t>
      </w:r>
    </w:p>
    <w:p w14:paraId="27C87762" w14:textId="77777777" w:rsidR="00B8114D" w:rsidRPr="007538C4" w:rsidRDefault="00B8114D" w:rsidP="00B8114D">
      <w:pPr>
        <w:numPr>
          <w:ilvl w:val="0"/>
          <w:numId w:val="3"/>
        </w:numPr>
        <w:shd w:val="clear" w:color="auto" w:fill="FFFFFF"/>
        <w:spacing w:before="100" w:beforeAutospacing="1" w:after="100" w:afterAutospacing="1" w:line="240" w:lineRule="auto"/>
        <w:jc w:val="both"/>
        <w:rPr>
          <w:rFonts w:eastAsia="Times New Roman" w:cs="Times New Roman"/>
          <w:color w:val="000000"/>
          <w:szCs w:val="21"/>
        </w:rPr>
      </w:pPr>
      <w:r w:rsidRPr="007538C4">
        <w:rPr>
          <w:rFonts w:eastAsia="Times New Roman" w:cs="Times New Roman"/>
          <w:color w:val="000000"/>
          <w:szCs w:val="21"/>
        </w:rPr>
        <w:t xml:space="preserve">State or local agencies, </w:t>
      </w:r>
      <w:r w:rsidR="00BB3C8D" w:rsidRPr="007538C4">
        <w:rPr>
          <w:rFonts w:eastAsia="Times New Roman" w:cs="Times New Roman"/>
          <w:color w:val="000000"/>
          <w:szCs w:val="21"/>
        </w:rPr>
        <w:t xml:space="preserve">child support agencies, </w:t>
      </w:r>
      <w:r w:rsidRPr="007538C4">
        <w:rPr>
          <w:rFonts w:eastAsia="Times New Roman" w:cs="Times New Roman"/>
          <w:color w:val="000000"/>
          <w:szCs w:val="21"/>
        </w:rPr>
        <w:t xml:space="preserve">law enforcement agencies, trial courts, or private collection agencies acting under a court order, warrant, or subpoena </w:t>
      </w:r>
    </w:p>
    <w:p w14:paraId="5098BF0C" w14:textId="77777777" w:rsidR="00B8114D" w:rsidRPr="007538C4" w:rsidRDefault="00B8114D" w:rsidP="00B8114D">
      <w:pPr>
        <w:pStyle w:val="ListParagraph"/>
        <w:numPr>
          <w:ilvl w:val="0"/>
          <w:numId w:val="3"/>
        </w:numPr>
        <w:shd w:val="clear" w:color="auto" w:fill="FFFFFF"/>
        <w:spacing w:before="100" w:beforeAutospacing="1" w:after="100" w:afterAutospacing="1" w:line="240" w:lineRule="auto"/>
        <w:rPr>
          <w:rFonts w:eastAsia="Times New Roman" w:cs="Times New Roman"/>
          <w:color w:val="000000"/>
          <w:szCs w:val="21"/>
        </w:rPr>
      </w:pPr>
      <w:r w:rsidRPr="007538C4">
        <w:rPr>
          <w:rFonts w:eastAsia="Times New Roman" w:cs="Times New Roman"/>
          <w:color w:val="000000"/>
          <w:szCs w:val="21"/>
        </w:rPr>
        <w:t>The Commonwealth when investigating fraud, collecting delinquent taxes or unpaid court orders, or performing other statutory responsibilities</w:t>
      </w:r>
    </w:p>
    <w:p w14:paraId="0EE5FE0A" w14:textId="77777777" w:rsidR="00B8114D" w:rsidRPr="007538C4" w:rsidRDefault="00B8114D" w:rsidP="00B8114D">
      <w:pPr>
        <w:numPr>
          <w:ilvl w:val="0"/>
          <w:numId w:val="3"/>
        </w:numPr>
        <w:shd w:val="clear" w:color="auto" w:fill="FFFFFF"/>
        <w:spacing w:before="100" w:beforeAutospacing="1" w:after="100" w:afterAutospacing="1" w:line="240" w:lineRule="auto"/>
        <w:jc w:val="both"/>
        <w:rPr>
          <w:rFonts w:eastAsia="Times New Roman" w:cs="Times New Roman"/>
          <w:color w:val="000000"/>
          <w:szCs w:val="21"/>
        </w:rPr>
      </w:pPr>
      <w:r w:rsidRPr="007538C4">
        <w:rPr>
          <w:rFonts w:eastAsia="Times New Roman" w:cs="Times New Roman"/>
          <w:color w:val="000000"/>
          <w:szCs w:val="21"/>
        </w:rPr>
        <w:t xml:space="preserve">Pre or post screening under the Fair Credit Reporting Act </w:t>
      </w:r>
    </w:p>
    <w:p w14:paraId="284F6E78" w14:textId="77777777" w:rsidR="00BB3C8D" w:rsidRPr="007538C4" w:rsidRDefault="00B8114D" w:rsidP="00BB3C8D">
      <w:pPr>
        <w:numPr>
          <w:ilvl w:val="0"/>
          <w:numId w:val="3"/>
        </w:numPr>
        <w:shd w:val="clear" w:color="auto" w:fill="FFFFFF"/>
        <w:spacing w:before="100" w:beforeAutospacing="1" w:after="100" w:afterAutospacing="1" w:line="240" w:lineRule="auto"/>
        <w:jc w:val="both"/>
        <w:rPr>
          <w:rFonts w:eastAsia="Times New Roman" w:cs="Times New Roman"/>
          <w:color w:val="000000"/>
          <w:szCs w:val="21"/>
        </w:rPr>
      </w:pPr>
      <w:r w:rsidRPr="007538C4">
        <w:rPr>
          <w:rFonts w:eastAsia="Times New Roman" w:cs="Times New Roman"/>
          <w:color w:val="000000"/>
          <w:szCs w:val="21"/>
        </w:rPr>
        <w:t xml:space="preserve">Any person or entity monitoring your credit file </w:t>
      </w:r>
      <w:r w:rsidR="00BB3C8D" w:rsidRPr="007538C4">
        <w:rPr>
          <w:rFonts w:eastAsia="Times New Roman" w:cs="Times New Roman"/>
          <w:color w:val="000000"/>
          <w:szCs w:val="21"/>
        </w:rPr>
        <w:t xml:space="preserve">or providing you with a copy of your report with your permission or upon your request </w:t>
      </w:r>
    </w:p>
    <w:p w14:paraId="0A4DCB36" w14:textId="77777777" w:rsidR="00B8114D" w:rsidRPr="007538C4" w:rsidRDefault="00B8114D" w:rsidP="00B8114D">
      <w:pPr>
        <w:pStyle w:val="ListParagraph"/>
        <w:numPr>
          <w:ilvl w:val="0"/>
          <w:numId w:val="3"/>
        </w:numPr>
        <w:shd w:val="clear" w:color="auto" w:fill="FFFFFF"/>
        <w:spacing w:before="100" w:beforeAutospacing="1" w:after="100" w:afterAutospacing="1" w:line="240" w:lineRule="auto"/>
        <w:rPr>
          <w:rFonts w:eastAsia="Times New Roman" w:cs="Times New Roman"/>
          <w:color w:val="000000"/>
        </w:rPr>
      </w:pPr>
      <w:r w:rsidRPr="007538C4">
        <w:rPr>
          <w:rFonts w:eastAsia="Times New Roman" w:cs="Times New Roman"/>
          <w:color w:val="000000"/>
          <w:szCs w:val="21"/>
        </w:rPr>
        <w:t>Any person or entity using the information to set or adjust a rate, adjust a claim, o</w:t>
      </w:r>
      <w:r w:rsidRPr="00456F4C">
        <w:rPr>
          <w:rFonts w:eastAsia="Times New Roman" w:cs="Times New Roman"/>
          <w:color w:val="000000"/>
          <w:sz w:val="21"/>
          <w:szCs w:val="21"/>
        </w:rPr>
        <w:t xml:space="preserve">r underwrite for insurance </w:t>
      </w:r>
      <w:r w:rsidRPr="007538C4">
        <w:rPr>
          <w:rFonts w:eastAsia="Times New Roman" w:cs="Times New Roman"/>
          <w:color w:val="000000"/>
        </w:rPr>
        <w:t>purposes</w:t>
      </w:r>
    </w:p>
    <w:p w14:paraId="65799362" w14:textId="77777777" w:rsidR="00456F4C" w:rsidRPr="007538C4" w:rsidRDefault="00B8114D" w:rsidP="004641E1">
      <w:pPr>
        <w:numPr>
          <w:ilvl w:val="0"/>
          <w:numId w:val="3"/>
        </w:numPr>
        <w:shd w:val="clear" w:color="auto" w:fill="FFFFFF"/>
        <w:spacing w:before="100" w:beforeAutospacing="1" w:after="100" w:afterAutospacing="1" w:line="240" w:lineRule="auto"/>
        <w:jc w:val="both"/>
        <w:rPr>
          <w:sz w:val="20"/>
        </w:rPr>
      </w:pPr>
      <w:r w:rsidRPr="007538C4">
        <w:rPr>
          <w:rFonts w:eastAsia="Times New Roman" w:cs="Times New Roman"/>
          <w:color w:val="000000"/>
        </w:rPr>
        <w:t xml:space="preserve">Any employer in connection with any application for employment </w:t>
      </w:r>
    </w:p>
    <w:p w14:paraId="502E8736" w14:textId="77777777" w:rsidR="00F46624" w:rsidRDefault="00F46624" w:rsidP="004641E1">
      <w:pPr>
        <w:pStyle w:val="NoSpacing"/>
        <w:rPr>
          <w:sz w:val="20"/>
        </w:rPr>
      </w:pPr>
      <w:bookmarkStart w:id="0" w:name="_GoBack"/>
      <w:bookmarkEnd w:id="0"/>
    </w:p>
    <w:p w14:paraId="2406060D" w14:textId="77777777" w:rsidR="004641E1" w:rsidRPr="00456F4C" w:rsidRDefault="004641E1" w:rsidP="004641E1">
      <w:pPr>
        <w:pStyle w:val="NoSpacing"/>
        <w:rPr>
          <w:sz w:val="20"/>
        </w:rPr>
      </w:pPr>
      <w:r w:rsidRPr="00456F4C">
        <w:rPr>
          <w:sz w:val="20"/>
        </w:rPr>
        <w:t xml:space="preserve">Information provided by </w:t>
      </w:r>
      <w:r w:rsidR="00603870">
        <w:rPr>
          <w:sz w:val="20"/>
        </w:rPr>
        <w:t>t</w:t>
      </w:r>
      <w:r w:rsidRPr="00456F4C">
        <w:rPr>
          <w:sz w:val="20"/>
        </w:rPr>
        <w:t>he Office of the Attorney General</w:t>
      </w:r>
    </w:p>
    <w:p w14:paraId="1622D5A0" w14:textId="77777777" w:rsidR="00B8114D" w:rsidRPr="00456F4C" w:rsidRDefault="00B8114D" w:rsidP="00B8114D">
      <w:pPr>
        <w:pStyle w:val="NoSpacing"/>
        <w:rPr>
          <w:i/>
          <w:sz w:val="20"/>
        </w:rPr>
      </w:pPr>
      <w:r w:rsidRPr="00456F4C">
        <w:rPr>
          <w:i/>
          <w:sz w:val="20"/>
        </w:rPr>
        <w:t>http://www.ag.virginia.gov/Consumer%20Protection/Consumer_CR_Security_Freeze.html</w:t>
      </w:r>
    </w:p>
    <w:sectPr w:rsidR="00B8114D" w:rsidRPr="00456F4C" w:rsidSect="00B8114D">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47066" w14:textId="77777777" w:rsidR="00023D95" w:rsidRDefault="00023D95" w:rsidP="00371D87">
      <w:pPr>
        <w:spacing w:after="0" w:line="240" w:lineRule="auto"/>
      </w:pPr>
      <w:r>
        <w:separator/>
      </w:r>
    </w:p>
  </w:endnote>
  <w:endnote w:type="continuationSeparator" w:id="0">
    <w:p w14:paraId="6474F08A" w14:textId="77777777" w:rsidR="00023D95" w:rsidRDefault="00023D95" w:rsidP="00371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658E8" w14:textId="77777777" w:rsidR="00371D87" w:rsidRDefault="00371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3737E" w14:textId="77777777" w:rsidR="00371D87" w:rsidRDefault="00371D87" w:rsidP="00371D87">
    <w:pPr>
      <w:pStyle w:val="Footer"/>
      <w:rPr>
        <w:sz w:val="16"/>
      </w:rPr>
    </w:pPr>
    <w:r>
      <w:rPr>
        <w:sz w:val="16"/>
      </w:rPr>
      <w:t>Rev. 0115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0F25E" w14:textId="77777777" w:rsidR="00371D87" w:rsidRDefault="00371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5B453" w14:textId="77777777" w:rsidR="00023D95" w:rsidRDefault="00023D95" w:rsidP="00371D87">
      <w:pPr>
        <w:spacing w:after="0" w:line="240" w:lineRule="auto"/>
      </w:pPr>
      <w:r>
        <w:separator/>
      </w:r>
    </w:p>
  </w:footnote>
  <w:footnote w:type="continuationSeparator" w:id="0">
    <w:p w14:paraId="75CEBD11" w14:textId="77777777" w:rsidR="00023D95" w:rsidRDefault="00023D95" w:rsidP="00371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BB339" w14:textId="77777777" w:rsidR="00371D87" w:rsidRDefault="00371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1212" w14:textId="77777777" w:rsidR="00371D87" w:rsidRDefault="00371D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CE8CE" w14:textId="77777777" w:rsidR="00371D87" w:rsidRDefault="00371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D2C31"/>
    <w:multiLevelType w:val="multilevel"/>
    <w:tmpl w:val="97A2944A"/>
    <w:lvl w:ilvl="0">
      <w:start w:val="1"/>
      <w:numFmt w:val="bullet"/>
      <w:lvlText w:val=""/>
      <w:lvlJc w:val="left"/>
      <w:pPr>
        <w:tabs>
          <w:tab w:val="num" w:pos="-12540"/>
        </w:tabs>
        <w:ind w:left="-12540" w:hanging="360"/>
      </w:pPr>
      <w:rPr>
        <w:rFonts w:ascii="Symbol" w:hAnsi="Symbol" w:hint="default"/>
        <w:sz w:val="20"/>
      </w:rPr>
    </w:lvl>
    <w:lvl w:ilvl="1" w:tentative="1">
      <w:start w:val="1"/>
      <w:numFmt w:val="bullet"/>
      <w:lvlText w:val="o"/>
      <w:lvlJc w:val="left"/>
      <w:pPr>
        <w:tabs>
          <w:tab w:val="num" w:pos="-11820"/>
        </w:tabs>
        <w:ind w:left="-11820" w:hanging="360"/>
      </w:pPr>
      <w:rPr>
        <w:rFonts w:ascii="Courier New" w:hAnsi="Courier New" w:hint="default"/>
        <w:sz w:val="20"/>
      </w:rPr>
    </w:lvl>
    <w:lvl w:ilvl="2" w:tentative="1">
      <w:start w:val="1"/>
      <w:numFmt w:val="bullet"/>
      <w:lvlText w:val=""/>
      <w:lvlJc w:val="left"/>
      <w:pPr>
        <w:tabs>
          <w:tab w:val="num" w:pos="-11100"/>
        </w:tabs>
        <w:ind w:left="-11100" w:hanging="360"/>
      </w:pPr>
      <w:rPr>
        <w:rFonts w:ascii="Wingdings" w:hAnsi="Wingdings" w:hint="default"/>
        <w:sz w:val="20"/>
      </w:rPr>
    </w:lvl>
    <w:lvl w:ilvl="3" w:tentative="1">
      <w:start w:val="1"/>
      <w:numFmt w:val="bullet"/>
      <w:lvlText w:val=""/>
      <w:lvlJc w:val="left"/>
      <w:pPr>
        <w:tabs>
          <w:tab w:val="num" w:pos="-10380"/>
        </w:tabs>
        <w:ind w:left="-10380" w:hanging="360"/>
      </w:pPr>
      <w:rPr>
        <w:rFonts w:ascii="Wingdings" w:hAnsi="Wingdings" w:hint="default"/>
        <w:sz w:val="20"/>
      </w:rPr>
    </w:lvl>
    <w:lvl w:ilvl="4" w:tentative="1">
      <w:start w:val="1"/>
      <w:numFmt w:val="bullet"/>
      <w:lvlText w:val=""/>
      <w:lvlJc w:val="left"/>
      <w:pPr>
        <w:tabs>
          <w:tab w:val="num" w:pos="-9660"/>
        </w:tabs>
        <w:ind w:left="-9660" w:hanging="360"/>
      </w:pPr>
      <w:rPr>
        <w:rFonts w:ascii="Wingdings" w:hAnsi="Wingdings" w:hint="default"/>
        <w:sz w:val="20"/>
      </w:rPr>
    </w:lvl>
    <w:lvl w:ilvl="5" w:tentative="1">
      <w:start w:val="1"/>
      <w:numFmt w:val="bullet"/>
      <w:lvlText w:val=""/>
      <w:lvlJc w:val="left"/>
      <w:pPr>
        <w:tabs>
          <w:tab w:val="num" w:pos="-8940"/>
        </w:tabs>
        <w:ind w:left="-8940" w:hanging="360"/>
      </w:pPr>
      <w:rPr>
        <w:rFonts w:ascii="Wingdings" w:hAnsi="Wingdings" w:hint="default"/>
        <w:sz w:val="20"/>
      </w:rPr>
    </w:lvl>
    <w:lvl w:ilvl="6" w:tentative="1">
      <w:start w:val="1"/>
      <w:numFmt w:val="bullet"/>
      <w:lvlText w:val=""/>
      <w:lvlJc w:val="left"/>
      <w:pPr>
        <w:tabs>
          <w:tab w:val="num" w:pos="-8220"/>
        </w:tabs>
        <w:ind w:left="-8220" w:hanging="360"/>
      </w:pPr>
      <w:rPr>
        <w:rFonts w:ascii="Wingdings" w:hAnsi="Wingdings" w:hint="default"/>
        <w:sz w:val="20"/>
      </w:rPr>
    </w:lvl>
    <w:lvl w:ilvl="7" w:tentative="1">
      <w:start w:val="1"/>
      <w:numFmt w:val="bullet"/>
      <w:lvlText w:val=""/>
      <w:lvlJc w:val="left"/>
      <w:pPr>
        <w:tabs>
          <w:tab w:val="num" w:pos="-7500"/>
        </w:tabs>
        <w:ind w:left="-7500" w:hanging="360"/>
      </w:pPr>
      <w:rPr>
        <w:rFonts w:ascii="Wingdings" w:hAnsi="Wingdings" w:hint="default"/>
        <w:sz w:val="20"/>
      </w:rPr>
    </w:lvl>
    <w:lvl w:ilvl="8" w:tentative="1">
      <w:start w:val="1"/>
      <w:numFmt w:val="bullet"/>
      <w:lvlText w:val=""/>
      <w:lvlJc w:val="left"/>
      <w:pPr>
        <w:tabs>
          <w:tab w:val="num" w:pos="-6780"/>
        </w:tabs>
        <w:ind w:left="-6780" w:hanging="360"/>
      </w:pPr>
      <w:rPr>
        <w:rFonts w:ascii="Wingdings" w:hAnsi="Wingdings" w:hint="default"/>
        <w:sz w:val="20"/>
      </w:rPr>
    </w:lvl>
  </w:abstractNum>
  <w:abstractNum w:abstractNumId="1" w15:restartNumberingAfterBreak="0">
    <w:nsid w:val="44E677D3"/>
    <w:multiLevelType w:val="multilevel"/>
    <w:tmpl w:val="5B16B890"/>
    <w:lvl w:ilvl="0">
      <w:start w:val="1"/>
      <w:numFmt w:val="bullet"/>
      <w:lvlText w:val=""/>
      <w:lvlJc w:val="left"/>
      <w:pPr>
        <w:tabs>
          <w:tab w:val="num" w:pos="-11010"/>
        </w:tabs>
        <w:ind w:left="-11010" w:hanging="360"/>
      </w:pPr>
      <w:rPr>
        <w:rFonts w:ascii="Symbol" w:hAnsi="Symbol" w:hint="default"/>
        <w:sz w:val="20"/>
      </w:rPr>
    </w:lvl>
    <w:lvl w:ilvl="1" w:tentative="1">
      <w:start w:val="1"/>
      <w:numFmt w:val="bullet"/>
      <w:lvlText w:val=""/>
      <w:lvlJc w:val="left"/>
      <w:pPr>
        <w:tabs>
          <w:tab w:val="num" w:pos="-10290"/>
        </w:tabs>
        <w:ind w:left="-10290" w:hanging="360"/>
      </w:pPr>
      <w:rPr>
        <w:rFonts w:ascii="Symbol" w:hAnsi="Symbol" w:hint="default"/>
        <w:sz w:val="20"/>
      </w:rPr>
    </w:lvl>
    <w:lvl w:ilvl="2" w:tentative="1">
      <w:start w:val="1"/>
      <w:numFmt w:val="bullet"/>
      <w:lvlText w:val=""/>
      <w:lvlJc w:val="left"/>
      <w:pPr>
        <w:tabs>
          <w:tab w:val="num" w:pos="-9570"/>
        </w:tabs>
        <w:ind w:left="-9570" w:hanging="360"/>
      </w:pPr>
      <w:rPr>
        <w:rFonts w:ascii="Symbol" w:hAnsi="Symbol" w:hint="default"/>
        <w:sz w:val="20"/>
      </w:rPr>
    </w:lvl>
    <w:lvl w:ilvl="3" w:tentative="1">
      <w:start w:val="1"/>
      <w:numFmt w:val="bullet"/>
      <w:lvlText w:val=""/>
      <w:lvlJc w:val="left"/>
      <w:pPr>
        <w:tabs>
          <w:tab w:val="num" w:pos="-8850"/>
        </w:tabs>
        <w:ind w:left="-8850" w:hanging="360"/>
      </w:pPr>
      <w:rPr>
        <w:rFonts w:ascii="Symbol" w:hAnsi="Symbol" w:hint="default"/>
        <w:sz w:val="20"/>
      </w:rPr>
    </w:lvl>
    <w:lvl w:ilvl="4" w:tentative="1">
      <w:start w:val="1"/>
      <w:numFmt w:val="bullet"/>
      <w:lvlText w:val=""/>
      <w:lvlJc w:val="left"/>
      <w:pPr>
        <w:tabs>
          <w:tab w:val="num" w:pos="-8130"/>
        </w:tabs>
        <w:ind w:left="-8130" w:hanging="360"/>
      </w:pPr>
      <w:rPr>
        <w:rFonts w:ascii="Symbol" w:hAnsi="Symbol" w:hint="default"/>
        <w:sz w:val="20"/>
      </w:rPr>
    </w:lvl>
    <w:lvl w:ilvl="5" w:tentative="1">
      <w:start w:val="1"/>
      <w:numFmt w:val="bullet"/>
      <w:lvlText w:val=""/>
      <w:lvlJc w:val="left"/>
      <w:pPr>
        <w:tabs>
          <w:tab w:val="num" w:pos="-7410"/>
        </w:tabs>
        <w:ind w:left="-7410" w:hanging="360"/>
      </w:pPr>
      <w:rPr>
        <w:rFonts w:ascii="Symbol" w:hAnsi="Symbol" w:hint="default"/>
        <w:sz w:val="20"/>
      </w:rPr>
    </w:lvl>
    <w:lvl w:ilvl="6" w:tentative="1">
      <w:start w:val="1"/>
      <w:numFmt w:val="bullet"/>
      <w:lvlText w:val=""/>
      <w:lvlJc w:val="left"/>
      <w:pPr>
        <w:tabs>
          <w:tab w:val="num" w:pos="-6690"/>
        </w:tabs>
        <w:ind w:left="-6690" w:hanging="360"/>
      </w:pPr>
      <w:rPr>
        <w:rFonts w:ascii="Symbol" w:hAnsi="Symbol" w:hint="default"/>
        <w:sz w:val="20"/>
      </w:rPr>
    </w:lvl>
    <w:lvl w:ilvl="7" w:tentative="1">
      <w:start w:val="1"/>
      <w:numFmt w:val="bullet"/>
      <w:lvlText w:val=""/>
      <w:lvlJc w:val="left"/>
      <w:pPr>
        <w:tabs>
          <w:tab w:val="num" w:pos="-5970"/>
        </w:tabs>
        <w:ind w:left="-5970" w:hanging="360"/>
      </w:pPr>
      <w:rPr>
        <w:rFonts w:ascii="Symbol" w:hAnsi="Symbol" w:hint="default"/>
        <w:sz w:val="20"/>
      </w:rPr>
    </w:lvl>
    <w:lvl w:ilvl="8" w:tentative="1">
      <w:start w:val="1"/>
      <w:numFmt w:val="bullet"/>
      <w:lvlText w:val=""/>
      <w:lvlJc w:val="left"/>
      <w:pPr>
        <w:tabs>
          <w:tab w:val="num" w:pos="-5250"/>
        </w:tabs>
        <w:ind w:left="-5250" w:hanging="360"/>
      </w:pPr>
      <w:rPr>
        <w:rFonts w:ascii="Symbol" w:hAnsi="Symbol" w:hint="default"/>
        <w:sz w:val="20"/>
      </w:rPr>
    </w:lvl>
  </w:abstractNum>
  <w:abstractNum w:abstractNumId="2" w15:restartNumberingAfterBreak="0">
    <w:nsid w:val="4CEA7BD1"/>
    <w:multiLevelType w:val="hybridMultilevel"/>
    <w:tmpl w:val="BE42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8114D"/>
    <w:rsid w:val="00016464"/>
    <w:rsid w:val="00023D95"/>
    <w:rsid w:val="000441B1"/>
    <w:rsid w:val="000F1393"/>
    <w:rsid w:val="00172933"/>
    <w:rsid w:val="0018337B"/>
    <w:rsid w:val="002E7323"/>
    <w:rsid w:val="00313D62"/>
    <w:rsid w:val="00371D87"/>
    <w:rsid w:val="003C2C7D"/>
    <w:rsid w:val="00402FC8"/>
    <w:rsid w:val="0042578B"/>
    <w:rsid w:val="00456F4C"/>
    <w:rsid w:val="004641E1"/>
    <w:rsid w:val="0051229A"/>
    <w:rsid w:val="005E6840"/>
    <w:rsid w:val="00603870"/>
    <w:rsid w:val="006128CD"/>
    <w:rsid w:val="00612F00"/>
    <w:rsid w:val="00621BED"/>
    <w:rsid w:val="00653D39"/>
    <w:rsid w:val="00697E25"/>
    <w:rsid w:val="007538C4"/>
    <w:rsid w:val="00AD02C8"/>
    <w:rsid w:val="00B62BF7"/>
    <w:rsid w:val="00B8114D"/>
    <w:rsid w:val="00BB3C8D"/>
    <w:rsid w:val="00BE0D4A"/>
    <w:rsid w:val="00C07948"/>
    <w:rsid w:val="00C57D69"/>
    <w:rsid w:val="00CD430B"/>
    <w:rsid w:val="00E52C8B"/>
    <w:rsid w:val="00F46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07B21D"/>
  <w15:docId w15:val="{DA7E192A-045D-4728-9992-C8D521DB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2C7D"/>
  </w:style>
  <w:style w:type="paragraph" w:styleId="Heading2">
    <w:name w:val="heading 2"/>
    <w:basedOn w:val="Normal"/>
    <w:link w:val="Heading2Char"/>
    <w:uiPriority w:val="9"/>
    <w:qFormat/>
    <w:rsid w:val="00B811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114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B8114D"/>
    <w:rPr>
      <w:strike w:val="0"/>
      <w:dstrike w:val="0"/>
      <w:color w:val="0000FF"/>
      <w:u w:val="none"/>
      <w:effect w:val="none"/>
    </w:rPr>
  </w:style>
  <w:style w:type="character" w:styleId="Strong">
    <w:name w:val="Strong"/>
    <w:basedOn w:val="DefaultParagraphFont"/>
    <w:uiPriority w:val="22"/>
    <w:qFormat/>
    <w:rsid w:val="00B8114D"/>
    <w:rPr>
      <w:b/>
      <w:bCs/>
    </w:rPr>
  </w:style>
  <w:style w:type="paragraph" w:styleId="ListParagraph">
    <w:name w:val="List Paragraph"/>
    <w:basedOn w:val="Normal"/>
    <w:uiPriority w:val="34"/>
    <w:qFormat/>
    <w:rsid w:val="00B8114D"/>
    <w:pPr>
      <w:ind w:left="720"/>
      <w:contextualSpacing/>
    </w:pPr>
  </w:style>
  <w:style w:type="paragraph" w:styleId="NoSpacing">
    <w:name w:val="No Spacing"/>
    <w:uiPriority w:val="1"/>
    <w:qFormat/>
    <w:rsid w:val="00B8114D"/>
    <w:pPr>
      <w:spacing w:after="0" w:line="240" w:lineRule="auto"/>
    </w:pPr>
  </w:style>
  <w:style w:type="paragraph" w:styleId="BalloonText">
    <w:name w:val="Balloon Text"/>
    <w:basedOn w:val="Normal"/>
    <w:link w:val="BalloonTextChar"/>
    <w:uiPriority w:val="99"/>
    <w:semiHidden/>
    <w:unhideWhenUsed/>
    <w:rsid w:val="00AD0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2C8"/>
    <w:rPr>
      <w:rFonts w:ascii="Tahoma" w:hAnsi="Tahoma" w:cs="Tahoma"/>
      <w:sz w:val="16"/>
      <w:szCs w:val="16"/>
    </w:rPr>
  </w:style>
  <w:style w:type="paragraph" w:styleId="Header">
    <w:name w:val="header"/>
    <w:basedOn w:val="Normal"/>
    <w:link w:val="HeaderChar"/>
    <w:uiPriority w:val="99"/>
    <w:semiHidden/>
    <w:unhideWhenUsed/>
    <w:rsid w:val="00371D8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1D87"/>
  </w:style>
  <w:style w:type="paragraph" w:styleId="Footer">
    <w:name w:val="footer"/>
    <w:basedOn w:val="Normal"/>
    <w:link w:val="FooterChar"/>
    <w:uiPriority w:val="99"/>
    <w:unhideWhenUsed/>
    <w:rsid w:val="00371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029817">
      <w:bodyDiv w:val="1"/>
      <w:marLeft w:val="0"/>
      <w:marRight w:val="0"/>
      <w:marTop w:val="0"/>
      <w:marBottom w:val="0"/>
      <w:divBdr>
        <w:top w:val="none" w:sz="0" w:space="0" w:color="auto"/>
        <w:left w:val="none" w:sz="0" w:space="0" w:color="auto"/>
        <w:bottom w:val="none" w:sz="0" w:space="0" w:color="auto"/>
        <w:right w:val="none" w:sz="0" w:space="0" w:color="auto"/>
      </w:divBdr>
      <w:divsChild>
        <w:div w:id="282853771">
          <w:marLeft w:val="3750"/>
          <w:marRight w:val="17"/>
          <w:marTop w:val="0"/>
          <w:marBottom w:val="0"/>
          <w:divBdr>
            <w:top w:val="none" w:sz="0" w:space="0" w:color="auto"/>
            <w:left w:val="none" w:sz="0" w:space="0" w:color="auto"/>
            <w:bottom w:val="none" w:sz="0" w:space="0" w:color="auto"/>
            <w:right w:val="none" w:sz="0" w:space="0" w:color="auto"/>
          </w:divBdr>
          <w:divsChild>
            <w:div w:id="111175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764312">
          <w:marLeft w:val="0"/>
          <w:marRight w:val="0"/>
          <w:marTop w:val="0"/>
          <w:marBottom w:val="0"/>
          <w:divBdr>
            <w:top w:val="single" w:sz="6" w:space="0" w:color="C0C0C0"/>
            <w:left w:val="none" w:sz="0" w:space="0" w:color="auto"/>
            <w:bottom w:val="none" w:sz="0" w:space="0" w:color="auto"/>
            <w:right w:val="none" w:sz="0" w:space="0" w:color="auto"/>
          </w:divBdr>
        </w:div>
      </w:divsChild>
    </w:div>
    <w:div w:id="100285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D2B57-46DA-469F-B1F0-74280197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848</Words>
  <Characters>4837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cassandra.riggin</dc:creator>
  <cp:lastModifiedBy>Dawn Lindley</cp:lastModifiedBy>
  <cp:revision>5</cp:revision>
  <cp:lastPrinted>2018-06-18T14:37:00Z</cp:lastPrinted>
  <dcterms:created xsi:type="dcterms:W3CDTF">2015-01-05T20:07:00Z</dcterms:created>
  <dcterms:modified xsi:type="dcterms:W3CDTF">2018-06-18T14:37:00Z</dcterms:modified>
</cp:coreProperties>
</file>