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67B3" w14:textId="23A35B36" w:rsidR="00650E9D" w:rsidRDefault="00650E9D" w:rsidP="00650E9D">
      <w:pPr>
        <w:rPr>
          <w:rFonts w:ascii="Arial" w:hAnsi="Arial" w:cs="Arial"/>
          <w:b/>
          <w:bCs/>
          <w:u w:val="single"/>
        </w:rPr>
      </w:pPr>
      <w:r w:rsidRPr="00650E9D">
        <w:rPr>
          <w:rFonts w:ascii="Arial" w:hAnsi="Arial" w:cs="Arial"/>
          <w:b/>
          <w:bCs/>
          <w:noProof/>
        </w:rPr>
        <w:drawing>
          <wp:inline distT="0" distB="0" distL="0" distR="0" wp14:anchorId="4CEEF72A" wp14:editId="45E33DEC">
            <wp:extent cx="2466975" cy="743382"/>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523238" cy="760336"/>
                    </a:xfrm>
                    <a:prstGeom prst="rect">
                      <a:avLst/>
                    </a:prstGeom>
                  </pic:spPr>
                </pic:pic>
              </a:graphicData>
            </a:graphic>
          </wp:inline>
        </w:drawing>
      </w:r>
    </w:p>
    <w:p w14:paraId="6DE9BAC6" w14:textId="77777777" w:rsidR="00650E9D" w:rsidRDefault="00650E9D" w:rsidP="00E17255">
      <w:pPr>
        <w:jc w:val="center"/>
        <w:rPr>
          <w:rFonts w:ascii="Arial" w:hAnsi="Arial" w:cs="Arial"/>
          <w:b/>
          <w:bCs/>
          <w:u w:val="single"/>
        </w:rPr>
      </w:pPr>
    </w:p>
    <w:p w14:paraId="776D915D" w14:textId="4079B311" w:rsidR="005902F4" w:rsidRPr="00650E9D" w:rsidRDefault="00C2137E" w:rsidP="00E17255">
      <w:pPr>
        <w:jc w:val="center"/>
        <w:rPr>
          <w:rFonts w:ascii="Arial" w:hAnsi="Arial" w:cs="Arial"/>
          <w:b/>
          <w:bCs/>
          <w:sz w:val="40"/>
          <w:szCs w:val="40"/>
        </w:rPr>
      </w:pPr>
      <w:r w:rsidRPr="00650E9D">
        <w:rPr>
          <w:rFonts w:ascii="Arial" w:hAnsi="Arial" w:cs="Arial"/>
          <w:b/>
          <w:bCs/>
          <w:sz w:val="40"/>
          <w:szCs w:val="40"/>
        </w:rPr>
        <w:t>Credit Union</w:t>
      </w:r>
      <w:r w:rsidR="005902F4" w:rsidRPr="00650E9D">
        <w:rPr>
          <w:rFonts w:ascii="Arial" w:hAnsi="Arial" w:cs="Arial"/>
          <w:b/>
          <w:bCs/>
          <w:sz w:val="40"/>
          <w:szCs w:val="40"/>
        </w:rPr>
        <w:t xml:space="preserve"> Regulatory </w:t>
      </w:r>
      <w:r w:rsidR="00E671EF" w:rsidRPr="00650E9D">
        <w:rPr>
          <w:rFonts w:ascii="Arial" w:hAnsi="Arial" w:cs="Arial"/>
          <w:b/>
          <w:bCs/>
          <w:sz w:val="40"/>
          <w:szCs w:val="40"/>
        </w:rPr>
        <w:t>Issues</w:t>
      </w:r>
    </w:p>
    <w:p w14:paraId="35B5302E" w14:textId="77777777" w:rsidR="005902F4" w:rsidRPr="000F7A01" w:rsidRDefault="005902F4" w:rsidP="00E17255">
      <w:pPr>
        <w:jc w:val="center"/>
        <w:rPr>
          <w:rFonts w:ascii="Arial" w:hAnsi="Arial" w:cs="Arial"/>
          <w:b/>
          <w:bCs/>
          <w:u w:val="single"/>
        </w:rPr>
      </w:pPr>
    </w:p>
    <w:p w14:paraId="112664B2" w14:textId="6999EF32" w:rsidR="00587507" w:rsidRPr="00650E9D" w:rsidRDefault="00650E9D" w:rsidP="00567D70">
      <w:pPr>
        <w:jc w:val="center"/>
        <w:rPr>
          <w:rFonts w:ascii="Arial" w:hAnsi="Arial" w:cs="Arial"/>
          <w:b/>
          <w:bCs/>
          <w:sz w:val="36"/>
          <w:szCs w:val="36"/>
        </w:rPr>
      </w:pPr>
      <w:r>
        <w:rPr>
          <w:rFonts w:ascii="Arial" w:hAnsi="Arial" w:cs="Arial"/>
          <w:b/>
          <w:bCs/>
          <w:sz w:val="36"/>
          <w:szCs w:val="36"/>
        </w:rPr>
        <w:t>Talking Points</w:t>
      </w:r>
    </w:p>
    <w:p w14:paraId="5F36B768" w14:textId="77777777" w:rsidR="00567D70" w:rsidRPr="000F7A01" w:rsidRDefault="00567D70" w:rsidP="00A23697">
      <w:pPr>
        <w:jc w:val="center"/>
        <w:rPr>
          <w:rFonts w:ascii="Arial" w:hAnsi="Arial" w:cs="Arial"/>
          <w:bCs/>
          <w:i/>
        </w:rPr>
      </w:pPr>
    </w:p>
    <w:p w14:paraId="3D5BE672" w14:textId="27745FCA" w:rsidR="00587507" w:rsidRPr="000F7A01" w:rsidRDefault="00587507" w:rsidP="00A23697">
      <w:pPr>
        <w:jc w:val="center"/>
        <w:rPr>
          <w:rFonts w:ascii="Arial" w:hAnsi="Arial" w:cs="Arial"/>
          <w:bCs/>
          <w:i/>
        </w:rPr>
      </w:pPr>
      <w:r w:rsidRPr="000F7A01">
        <w:rPr>
          <w:rFonts w:ascii="Arial" w:hAnsi="Arial" w:cs="Arial"/>
          <w:bCs/>
          <w:i/>
        </w:rPr>
        <w:t>(</w:t>
      </w:r>
      <w:r w:rsidR="00D07E9E" w:rsidRPr="000F7A01">
        <w:rPr>
          <w:rFonts w:ascii="Arial" w:hAnsi="Arial" w:cs="Arial"/>
          <w:bCs/>
          <w:i/>
        </w:rPr>
        <w:t>September</w:t>
      </w:r>
      <w:r w:rsidR="00DD4901" w:rsidRPr="000F7A01">
        <w:rPr>
          <w:rFonts w:ascii="Arial" w:hAnsi="Arial" w:cs="Arial"/>
          <w:bCs/>
          <w:i/>
        </w:rPr>
        <w:t xml:space="preserve"> 2021</w:t>
      </w:r>
      <w:r w:rsidRPr="000F7A01">
        <w:rPr>
          <w:rFonts w:ascii="Arial" w:hAnsi="Arial" w:cs="Arial"/>
          <w:bCs/>
          <w:i/>
        </w:rPr>
        <w:t>)</w:t>
      </w:r>
    </w:p>
    <w:p w14:paraId="606231AE" w14:textId="77777777" w:rsidR="00D527A1" w:rsidRPr="000F7A01" w:rsidRDefault="00D527A1" w:rsidP="00BF31DE">
      <w:pPr>
        <w:rPr>
          <w:rFonts w:ascii="Arial" w:hAnsi="Arial" w:cs="Arial"/>
        </w:rPr>
      </w:pPr>
    </w:p>
    <w:p w14:paraId="4B75E7F5" w14:textId="77777777" w:rsidR="00EB1F44" w:rsidRPr="000F7A01" w:rsidRDefault="00EB1F44" w:rsidP="00EB1F44">
      <w:pPr>
        <w:pStyle w:val="ListParagraph"/>
        <w:numPr>
          <w:ilvl w:val="0"/>
          <w:numId w:val="5"/>
        </w:numPr>
        <w:rPr>
          <w:rFonts w:ascii="Arial" w:hAnsi="Arial" w:cs="Arial"/>
          <w:b/>
          <w:bCs/>
          <w:sz w:val="24"/>
          <w:szCs w:val="24"/>
        </w:rPr>
      </w:pPr>
      <w:r w:rsidRPr="000F7A01">
        <w:rPr>
          <w:rFonts w:ascii="Arial" w:hAnsi="Arial" w:cs="Arial"/>
          <w:b/>
          <w:bCs/>
          <w:sz w:val="24"/>
          <w:szCs w:val="24"/>
        </w:rPr>
        <w:t>Credit Union Regulatory Burden</w:t>
      </w:r>
    </w:p>
    <w:p w14:paraId="05508CB5" w14:textId="77777777" w:rsidR="00EB1F44" w:rsidRPr="000F7A01" w:rsidRDefault="00EB1F44" w:rsidP="00EB1F44">
      <w:pPr>
        <w:pStyle w:val="ListParagraph"/>
        <w:ind w:left="1080"/>
        <w:rPr>
          <w:rFonts w:ascii="Arial" w:hAnsi="Arial" w:cs="Arial"/>
          <w:sz w:val="24"/>
          <w:szCs w:val="24"/>
        </w:rPr>
      </w:pPr>
    </w:p>
    <w:p w14:paraId="7E32A20A" w14:textId="4E4DD9D0" w:rsidR="00EB1F44" w:rsidRPr="000F7A01" w:rsidRDefault="00EB1F44" w:rsidP="00EB1F44">
      <w:pPr>
        <w:pStyle w:val="ListParagraph"/>
        <w:numPr>
          <w:ilvl w:val="0"/>
          <w:numId w:val="2"/>
        </w:numPr>
        <w:rPr>
          <w:rFonts w:ascii="Arial" w:hAnsi="Arial" w:cs="Arial"/>
          <w:bCs/>
          <w:sz w:val="24"/>
          <w:szCs w:val="24"/>
        </w:rPr>
      </w:pPr>
      <w:r w:rsidRPr="000F7A01">
        <w:rPr>
          <w:rFonts w:ascii="Arial" w:hAnsi="Arial" w:cs="Arial"/>
          <w:sz w:val="24"/>
          <w:szCs w:val="24"/>
        </w:rPr>
        <w:t xml:space="preserve">We believe federal financial regulators should </w:t>
      </w:r>
      <w:r w:rsidR="00287E93" w:rsidRPr="000F7A01">
        <w:rPr>
          <w:rFonts w:ascii="Arial" w:hAnsi="Arial" w:cs="Arial"/>
          <w:sz w:val="24"/>
          <w:szCs w:val="24"/>
        </w:rPr>
        <w:t>take action</w:t>
      </w:r>
      <w:r w:rsidRPr="000F7A01">
        <w:rPr>
          <w:rFonts w:ascii="Arial" w:hAnsi="Arial" w:cs="Arial"/>
          <w:sz w:val="24"/>
          <w:szCs w:val="24"/>
        </w:rPr>
        <w:t xml:space="preserve"> to streamline current regulations, eliminate antiquated and inconsistent requirements, provide exemptions for credit unions where appropriate, and curb future regulatory requirements. </w:t>
      </w:r>
    </w:p>
    <w:p w14:paraId="777F52DD" w14:textId="77777777" w:rsidR="00EB1F44" w:rsidRPr="000F7A01" w:rsidRDefault="00EB1F44" w:rsidP="00EB1F44">
      <w:pPr>
        <w:pStyle w:val="ListParagraph"/>
        <w:rPr>
          <w:rFonts w:ascii="Arial" w:hAnsi="Arial" w:cs="Arial"/>
          <w:bCs/>
          <w:sz w:val="24"/>
          <w:szCs w:val="24"/>
        </w:rPr>
      </w:pPr>
    </w:p>
    <w:p w14:paraId="6A9AE497" w14:textId="77777777" w:rsidR="00EB1F44" w:rsidRPr="000F7A01" w:rsidRDefault="00EB1F44" w:rsidP="00EB1F44">
      <w:pPr>
        <w:pStyle w:val="ListParagraph"/>
        <w:numPr>
          <w:ilvl w:val="0"/>
          <w:numId w:val="2"/>
        </w:numPr>
        <w:rPr>
          <w:rFonts w:ascii="Arial" w:hAnsi="Arial" w:cs="Arial"/>
          <w:bCs/>
          <w:sz w:val="24"/>
          <w:szCs w:val="24"/>
        </w:rPr>
      </w:pPr>
      <w:r w:rsidRPr="000F7A01">
        <w:rPr>
          <w:rFonts w:ascii="Arial" w:hAnsi="Arial" w:cs="Arial"/>
          <w:sz w:val="24"/>
          <w:szCs w:val="24"/>
        </w:rPr>
        <w:t>Tailored and focused regulations are especially necessary given the operational pressures caused by the current COVID-19 crisis and its economic fallout.</w:t>
      </w:r>
    </w:p>
    <w:p w14:paraId="53405BE2" w14:textId="77777777" w:rsidR="00EB1F44" w:rsidRPr="000F7A01" w:rsidRDefault="00EB1F44" w:rsidP="00EB1F44">
      <w:pPr>
        <w:pStyle w:val="ListParagraph"/>
        <w:rPr>
          <w:rFonts w:ascii="Arial" w:hAnsi="Arial" w:cs="Arial"/>
          <w:sz w:val="24"/>
          <w:szCs w:val="24"/>
        </w:rPr>
      </w:pPr>
    </w:p>
    <w:p w14:paraId="6711BD93" w14:textId="77777777" w:rsidR="00EB1F44" w:rsidRPr="000F7A01" w:rsidRDefault="00EB1F44" w:rsidP="00EB1F44">
      <w:pPr>
        <w:pStyle w:val="ListParagraph"/>
        <w:numPr>
          <w:ilvl w:val="0"/>
          <w:numId w:val="2"/>
        </w:numPr>
        <w:rPr>
          <w:rFonts w:ascii="Arial" w:hAnsi="Arial" w:cs="Arial"/>
          <w:bCs/>
          <w:sz w:val="24"/>
          <w:szCs w:val="24"/>
        </w:rPr>
      </w:pPr>
      <w:r w:rsidRPr="000F7A01">
        <w:rPr>
          <w:rFonts w:ascii="Arial" w:hAnsi="Arial" w:cs="Arial"/>
          <w:sz w:val="24"/>
          <w:szCs w:val="24"/>
        </w:rPr>
        <w:t xml:space="preserve">Credit unions are consumers’ and small businesses’ best hope for receiving affordable and fair financial services since their customers are also their owners. This key incentive—that credit union customers are member-owners—is lacking in the for-profit banking industry. </w:t>
      </w:r>
    </w:p>
    <w:p w14:paraId="0580D748" w14:textId="77777777" w:rsidR="00240A93" w:rsidRPr="000F7A01" w:rsidRDefault="00240A93" w:rsidP="00D67293">
      <w:pPr>
        <w:rPr>
          <w:rFonts w:ascii="Arial" w:hAnsi="Arial" w:cs="Arial"/>
        </w:rPr>
      </w:pPr>
    </w:p>
    <w:p w14:paraId="04788E43" w14:textId="1012DA34" w:rsidR="004E5301" w:rsidRPr="000F7A01" w:rsidRDefault="004E5301" w:rsidP="00D67293">
      <w:pPr>
        <w:rPr>
          <w:rFonts w:ascii="Arial" w:eastAsia="Arial" w:hAnsi="Arial" w:cs="Arial"/>
        </w:rPr>
      </w:pPr>
    </w:p>
    <w:p w14:paraId="05951D10" w14:textId="77777777" w:rsidR="000442A3" w:rsidRPr="000F7A01" w:rsidRDefault="000442A3" w:rsidP="00397C5D">
      <w:pPr>
        <w:pStyle w:val="ListParagraph"/>
        <w:numPr>
          <w:ilvl w:val="0"/>
          <w:numId w:val="5"/>
        </w:numPr>
        <w:spacing w:line="240" w:lineRule="auto"/>
        <w:rPr>
          <w:rFonts w:ascii="Arial" w:hAnsi="Arial" w:cs="Arial"/>
          <w:b/>
          <w:bCs/>
          <w:sz w:val="24"/>
          <w:szCs w:val="24"/>
        </w:rPr>
      </w:pPr>
      <w:r w:rsidRPr="000F7A01">
        <w:rPr>
          <w:rFonts w:ascii="Arial" w:hAnsi="Arial" w:cs="Arial"/>
          <w:b/>
          <w:bCs/>
          <w:sz w:val="24"/>
          <w:szCs w:val="24"/>
        </w:rPr>
        <w:t>CFPB Issues</w:t>
      </w:r>
    </w:p>
    <w:p w14:paraId="3B6E90A7" w14:textId="77777777" w:rsidR="00DA0156" w:rsidRPr="000F7A01" w:rsidRDefault="00DA0156" w:rsidP="000442A3">
      <w:pPr>
        <w:ind w:firstLine="360"/>
        <w:contextualSpacing/>
        <w:rPr>
          <w:rFonts w:ascii="Arial" w:hAnsi="Arial" w:cs="Arial"/>
          <w:bCs/>
          <w:u w:val="single"/>
        </w:rPr>
      </w:pPr>
    </w:p>
    <w:p w14:paraId="161E12F8" w14:textId="77777777" w:rsidR="006A637B" w:rsidRPr="000F7A01" w:rsidRDefault="006A637B" w:rsidP="006A637B">
      <w:pPr>
        <w:ind w:firstLine="360"/>
        <w:contextualSpacing/>
        <w:rPr>
          <w:rFonts w:ascii="Arial" w:hAnsi="Arial" w:cs="Arial"/>
          <w:bCs/>
          <w:u w:val="single"/>
        </w:rPr>
      </w:pPr>
      <w:r w:rsidRPr="000F7A01">
        <w:rPr>
          <w:rFonts w:ascii="Arial" w:hAnsi="Arial" w:cs="Arial"/>
          <w:bCs/>
          <w:u w:val="single"/>
        </w:rPr>
        <w:t xml:space="preserve">Exemption Authority/Tailoring Regulations </w:t>
      </w:r>
    </w:p>
    <w:p w14:paraId="1ACA75F5" w14:textId="77777777" w:rsidR="006A637B" w:rsidRPr="000F7A01" w:rsidRDefault="006A637B" w:rsidP="006A637B">
      <w:pPr>
        <w:contextualSpacing/>
        <w:rPr>
          <w:rFonts w:ascii="Arial" w:hAnsi="Arial" w:cs="Arial"/>
        </w:rPr>
      </w:pPr>
    </w:p>
    <w:p w14:paraId="641C04E1" w14:textId="77777777" w:rsidR="006A637B" w:rsidRPr="000F7A01" w:rsidRDefault="006A637B" w:rsidP="006A637B">
      <w:pPr>
        <w:pStyle w:val="ListParagraph"/>
        <w:numPr>
          <w:ilvl w:val="0"/>
          <w:numId w:val="10"/>
        </w:numPr>
        <w:spacing w:line="240" w:lineRule="auto"/>
        <w:rPr>
          <w:rFonts w:ascii="Arial" w:hAnsi="Arial" w:cs="Arial"/>
          <w:sz w:val="24"/>
          <w:szCs w:val="24"/>
        </w:rPr>
      </w:pPr>
      <w:r w:rsidRPr="000F7A01">
        <w:rPr>
          <w:rFonts w:ascii="Arial" w:hAnsi="Arial" w:cs="Arial"/>
          <w:sz w:val="24"/>
          <w:szCs w:val="24"/>
        </w:rPr>
        <w:t xml:space="preserve">Broad, overly complex regulations strain the finite resources of community-based credit unions and often result in their exit from markets or reduced product offerings. This trend negatively affects consumers’ ability to access financial services from reputable providers.  </w:t>
      </w:r>
    </w:p>
    <w:p w14:paraId="21F41384" w14:textId="77777777" w:rsidR="006A637B" w:rsidRPr="000F7A01" w:rsidRDefault="006A637B" w:rsidP="006A637B">
      <w:pPr>
        <w:pStyle w:val="ListParagraph"/>
        <w:spacing w:line="240" w:lineRule="auto"/>
        <w:rPr>
          <w:rFonts w:ascii="Arial" w:hAnsi="Arial" w:cs="Arial"/>
          <w:sz w:val="24"/>
          <w:szCs w:val="24"/>
        </w:rPr>
      </w:pPr>
    </w:p>
    <w:p w14:paraId="2B9D7862" w14:textId="31D00F5A" w:rsidR="006A637B" w:rsidRPr="000F7A01" w:rsidRDefault="006A637B" w:rsidP="006A637B">
      <w:pPr>
        <w:pStyle w:val="ListParagraph"/>
        <w:numPr>
          <w:ilvl w:val="0"/>
          <w:numId w:val="10"/>
        </w:numPr>
        <w:spacing w:line="240" w:lineRule="auto"/>
        <w:rPr>
          <w:rFonts w:ascii="Arial" w:hAnsi="Arial" w:cs="Arial"/>
          <w:sz w:val="24"/>
          <w:szCs w:val="24"/>
        </w:rPr>
      </w:pPr>
      <w:r w:rsidRPr="000F7A01">
        <w:rPr>
          <w:rFonts w:ascii="Arial" w:hAnsi="Arial" w:cs="Arial"/>
          <w:sz w:val="24"/>
          <w:szCs w:val="24"/>
        </w:rPr>
        <w:t xml:space="preserve">Congress crafted the Dodd–Frank Act to authorize the Bureau to tailor rulemakings so </w:t>
      </w:r>
      <w:r w:rsidR="009911D0" w:rsidRPr="000F7A01">
        <w:rPr>
          <w:rFonts w:ascii="Arial" w:hAnsi="Arial" w:cs="Arial"/>
          <w:sz w:val="24"/>
          <w:szCs w:val="24"/>
        </w:rPr>
        <w:t>responsible actors</w:t>
      </w:r>
      <w:r w:rsidRPr="000F7A01">
        <w:rPr>
          <w:rFonts w:ascii="Arial" w:hAnsi="Arial" w:cs="Arial"/>
          <w:sz w:val="24"/>
          <w:szCs w:val="24"/>
        </w:rPr>
        <w:t xml:space="preserve"> in the financial services marketplace are not negatively impacted.</w:t>
      </w:r>
    </w:p>
    <w:p w14:paraId="532021BD" w14:textId="77777777" w:rsidR="006A637B" w:rsidRPr="000F7A01" w:rsidRDefault="006A637B" w:rsidP="006A637B">
      <w:pPr>
        <w:pStyle w:val="ListParagraph"/>
        <w:spacing w:line="240" w:lineRule="auto"/>
        <w:rPr>
          <w:rFonts w:ascii="Arial" w:hAnsi="Arial" w:cs="Arial"/>
          <w:sz w:val="24"/>
          <w:szCs w:val="24"/>
        </w:rPr>
      </w:pPr>
    </w:p>
    <w:p w14:paraId="6E2D63C2" w14:textId="4DEE4D4A" w:rsidR="009911D0" w:rsidRPr="00A077B4" w:rsidRDefault="006A637B" w:rsidP="00A077B4">
      <w:pPr>
        <w:pStyle w:val="ListParagraph"/>
        <w:numPr>
          <w:ilvl w:val="0"/>
          <w:numId w:val="13"/>
        </w:numPr>
        <w:spacing w:line="240" w:lineRule="auto"/>
        <w:rPr>
          <w:rFonts w:ascii="Arial" w:hAnsi="Arial" w:cs="Arial"/>
          <w:sz w:val="24"/>
          <w:szCs w:val="24"/>
        </w:rPr>
      </w:pPr>
      <w:r w:rsidRPr="000F7A01">
        <w:rPr>
          <w:rFonts w:ascii="Arial" w:hAnsi="Arial" w:cs="Arial"/>
          <w:sz w:val="24"/>
          <w:szCs w:val="24"/>
        </w:rPr>
        <w:t xml:space="preserve">The Bureau should use its exemption authority to protect credit union members from one-size-fits-all rulemakings that are inappropriate when applied to </w:t>
      </w:r>
      <w:r w:rsidR="009911D0" w:rsidRPr="000F7A01">
        <w:rPr>
          <w:rFonts w:ascii="Arial" w:hAnsi="Arial" w:cs="Arial"/>
          <w:sz w:val="24"/>
          <w:szCs w:val="24"/>
        </w:rPr>
        <w:t xml:space="preserve">the </w:t>
      </w:r>
      <w:r w:rsidRPr="000F7A01">
        <w:rPr>
          <w:rFonts w:ascii="Arial" w:hAnsi="Arial" w:cs="Arial"/>
          <w:sz w:val="24"/>
          <w:szCs w:val="24"/>
        </w:rPr>
        <w:t xml:space="preserve">not-for-profit structure of credit unions.  </w:t>
      </w:r>
    </w:p>
    <w:p w14:paraId="3427E329" w14:textId="77777777" w:rsidR="006A637B" w:rsidRPr="000F7A01" w:rsidRDefault="006A637B" w:rsidP="006A637B">
      <w:pPr>
        <w:rPr>
          <w:rFonts w:ascii="Arial" w:hAnsi="Arial" w:cs="Arial"/>
        </w:rPr>
      </w:pPr>
    </w:p>
    <w:p w14:paraId="79426B9D" w14:textId="661EE0BA" w:rsidR="006A637B" w:rsidRPr="000F7A01" w:rsidRDefault="00C46F04" w:rsidP="006A637B">
      <w:pPr>
        <w:ind w:firstLine="360"/>
        <w:contextualSpacing/>
        <w:rPr>
          <w:rFonts w:ascii="Arial" w:hAnsi="Arial" w:cs="Arial"/>
          <w:bCs/>
          <w:u w:val="single"/>
        </w:rPr>
      </w:pPr>
      <w:r>
        <w:rPr>
          <w:rFonts w:ascii="Arial" w:hAnsi="Arial" w:cs="Arial"/>
          <w:bCs/>
          <w:u w:val="single"/>
        </w:rPr>
        <w:lastRenderedPageBreak/>
        <w:br/>
      </w:r>
      <w:r>
        <w:rPr>
          <w:rFonts w:ascii="Arial" w:hAnsi="Arial" w:cs="Arial"/>
          <w:bCs/>
          <w:u w:val="single"/>
        </w:rPr>
        <w:br/>
      </w:r>
      <w:r w:rsidR="006A637B" w:rsidRPr="000F7A01">
        <w:rPr>
          <w:rFonts w:ascii="Arial" w:hAnsi="Arial" w:cs="Arial"/>
          <w:bCs/>
          <w:u w:val="single"/>
        </w:rPr>
        <w:t>Small Business Lending Rulemaking</w:t>
      </w:r>
    </w:p>
    <w:p w14:paraId="0427706F" w14:textId="77777777" w:rsidR="006A637B" w:rsidRPr="000F7A01" w:rsidRDefault="006A637B" w:rsidP="006A637B">
      <w:pPr>
        <w:contextualSpacing/>
        <w:rPr>
          <w:rFonts w:ascii="Arial" w:hAnsi="Arial" w:cs="Arial"/>
          <w:bCs/>
          <w:u w:val="single"/>
        </w:rPr>
      </w:pPr>
    </w:p>
    <w:p w14:paraId="7810F251" w14:textId="77777777" w:rsidR="006A637B" w:rsidRPr="000F7A01" w:rsidRDefault="006A637B" w:rsidP="006A637B">
      <w:pPr>
        <w:ind w:left="360"/>
        <w:rPr>
          <w:rFonts w:ascii="Arial" w:hAnsi="Arial" w:cs="Arial"/>
        </w:rPr>
      </w:pPr>
      <w:r w:rsidRPr="000F7A01">
        <w:rPr>
          <w:rFonts w:ascii="Arial" w:hAnsi="Arial" w:cs="Arial"/>
        </w:rPr>
        <w:t xml:space="preserve">Section 1071 of The Dodd-Frank Act amended the Equal Credit Opportunity Act (ECOA) to require financial institutions to compile, maintain, and submit to the Bureau certain data on credit applications by women-owned, minority-owned, and small businesses. </w:t>
      </w:r>
    </w:p>
    <w:p w14:paraId="3D2CFCC5" w14:textId="77777777" w:rsidR="006A637B" w:rsidRPr="000F7A01" w:rsidRDefault="006A637B" w:rsidP="006A637B">
      <w:pPr>
        <w:ind w:left="360"/>
        <w:rPr>
          <w:rFonts w:ascii="Arial" w:hAnsi="Arial" w:cs="Arial"/>
        </w:rPr>
      </w:pPr>
    </w:p>
    <w:p w14:paraId="01E9E86A" w14:textId="77777777" w:rsidR="006A637B" w:rsidRPr="000F7A01" w:rsidRDefault="006A637B" w:rsidP="006A637B">
      <w:pPr>
        <w:pStyle w:val="ListParagraph"/>
        <w:numPr>
          <w:ilvl w:val="0"/>
          <w:numId w:val="22"/>
        </w:numPr>
        <w:rPr>
          <w:rFonts w:ascii="Arial" w:hAnsi="Arial" w:cs="Arial"/>
          <w:sz w:val="24"/>
          <w:szCs w:val="24"/>
        </w:rPr>
      </w:pPr>
      <w:r w:rsidRPr="000F7A01">
        <w:rPr>
          <w:rFonts w:ascii="Arial" w:hAnsi="Arial" w:cs="Arial"/>
          <w:sz w:val="24"/>
          <w:szCs w:val="24"/>
        </w:rPr>
        <w:t xml:space="preserve">Credit unions support the goals of section 1071 and seek to provide all members with fair and equitable financial opportunities. That said, we are concerned about the potential for unintended consequences and the substantial compliance costs associated with the creation of a broad data collection where one does not currently exist. </w:t>
      </w:r>
    </w:p>
    <w:p w14:paraId="0585CBA1" w14:textId="77777777" w:rsidR="006A637B" w:rsidRPr="000F7A01" w:rsidRDefault="006A637B" w:rsidP="006A637B">
      <w:pPr>
        <w:pStyle w:val="ListParagraph"/>
        <w:rPr>
          <w:rFonts w:ascii="Arial" w:hAnsi="Arial" w:cs="Arial"/>
          <w:sz w:val="24"/>
          <w:szCs w:val="24"/>
        </w:rPr>
      </w:pPr>
    </w:p>
    <w:p w14:paraId="78E19DE7" w14:textId="77777777" w:rsidR="006A637B" w:rsidRPr="000F7A01" w:rsidRDefault="006A637B" w:rsidP="006A637B">
      <w:pPr>
        <w:pStyle w:val="ListParagraph"/>
        <w:numPr>
          <w:ilvl w:val="0"/>
          <w:numId w:val="22"/>
        </w:numPr>
        <w:rPr>
          <w:rFonts w:ascii="Arial" w:hAnsi="Arial" w:cs="Arial"/>
          <w:sz w:val="24"/>
          <w:szCs w:val="24"/>
        </w:rPr>
      </w:pPr>
      <w:r w:rsidRPr="000F7A01">
        <w:rPr>
          <w:rFonts w:ascii="Arial" w:hAnsi="Arial" w:cs="Arial"/>
          <w:sz w:val="24"/>
          <w:szCs w:val="24"/>
        </w:rPr>
        <w:t>As service providers legally bound to serve a specific field of membership and comply with statutory member business lending (MBL) restrictions, the data collected by the Bureau would likely be incomparable to other lenders that are legally permitted to serve anyone walking through their doors or accessing their websites.</w:t>
      </w:r>
    </w:p>
    <w:p w14:paraId="0273A385" w14:textId="77777777" w:rsidR="006A637B" w:rsidRPr="000F7A01" w:rsidRDefault="006A637B" w:rsidP="006A637B">
      <w:pPr>
        <w:pStyle w:val="ListParagraph"/>
        <w:rPr>
          <w:rFonts w:ascii="Arial" w:hAnsi="Arial" w:cs="Arial"/>
          <w:sz w:val="24"/>
          <w:szCs w:val="24"/>
        </w:rPr>
      </w:pPr>
    </w:p>
    <w:p w14:paraId="2954CC35" w14:textId="334BE0D6" w:rsidR="006A637B" w:rsidRPr="000F7A01" w:rsidRDefault="006A637B" w:rsidP="006A637B">
      <w:pPr>
        <w:pStyle w:val="ListParagraph"/>
        <w:numPr>
          <w:ilvl w:val="0"/>
          <w:numId w:val="22"/>
        </w:numPr>
        <w:rPr>
          <w:rFonts w:ascii="Arial" w:hAnsi="Arial" w:cs="Arial"/>
          <w:sz w:val="24"/>
          <w:szCs w:val="24"/>
        </w:rPr>
      </w:pPr>
      <w:r w:rsidRPr="000F7A01">
        <w:rPr>
          <w:rFonts w:ascii="Arial" w:hAnsi="Arial" w:cs="Arial"/>
          <w:sz w:val="24"/>
          <w:szCs w:val="24"/>
        </w:rPr>
        <w:t>We support</w:t>
      </w:r>
      <w:r w:rsidR="00A05418">
        <w:rPr>
          <w:rFonts w:ascii="Arial" w:hAnsi="Arial" w:cs="Arial"/>
          <w:sz w:val="24"/>
          <w:szCs w:val="24"/>
        </w:rPr>
        <w:t xml:space="preserve"> Bureau</w:t>
      </w:r>
      <w:r w:rsidRPr="000F7A01">
        <w:rPr>
          <w:rFonts w:ascii="Arial" w:hAnsi="Arial" w:cs="Arial"/>
          <w:sz w:val="24"/>
          <w:szCs w:val="24"/>
        </w:rPr>
        <w:t xml:space="preserve"> efforts to tailor its rule to have a minimal impact on credit union</w:t>
      </w:r>
      <w:r w:rsidR="000835BC" w:rsidRPr="000F7A01">
        <w:rPr>
          <w:rFonts w:ascii="Arial" w:hAnsi="Arial" w:cs="Arial"/>
          <w:sz w:val="24"/>
          <w:szCs w:val="24"/>
        </w:rPr>
        <w:t>s</w:t>
      </w:r>
      <w:r w:rsidRPr="000F7A01">
        <w:rPr>
          <w:rFonts w:ascii="Arial" w:hAnsi="Arial" w:cs="Arial"/>
          <w:sz w:val="24"/>
          <w:szCs w:val="24"/>
        </w:rPr>
        <w:t xml:space="preserve"> and to avoid creating unintended barriers for small business borrowers seeking credit.</w:t>
      </w:r>
    </w:p>
    <w:p w14:paraId="352ACB26" w14:textId="77777777" w:rsidR="006A637B" w:rsidRPr="000F7A01" w:rsidRDefault="006A637B" w:rsidP="006A637B">
      <w:pPr>
        <w:ind w:firstLine="360"/>
        <w:contextualSpacing/>
        <w:rPr>
          <w:rFonts w:ascii="Arial" w:hAnsi="Arial" w:cs="Arial"/>
          <w:bCs/>
          <w:u w:val="single"/>
        </w:rPr>
      </w:pPr>
    </w:p>
    <w:p w14:paraId="273F651A" w14:textId="77777777" w:rsidR="00EB1F44" w:rsidRPr="000F7A01" w:rsidRDefault="00EB1F44" w:rsidP="00EB1F44">
      <w:pPr>
        <w:spacing w:after="160"/>
        <w:ind w:firstLine="360"/>
        <w:contextualSpacing/>
        <w:rPr>
          <w:rFonts w:ascii="Arial" w:hAnsi="Arial" w:cs="Arial"/>
          <w:bCs/>
          <w:u w:val="single"/>
        </w:rPr>
      </w:pPr>
      <w:r w:rsidRPr="000F7A01">
        <w:rPr>
          <w:rFonts w:ascii="Arial" w:hAnsi="Arial" w:cs="Arial"/>
          <w:bCs/>
          <w:u w:val="single"/>
        </w:rPr>
        <w:t>Ability-to-Repay (ATR)/Qualified Mortgage (QM) Rule</w:t>
      </w:r>
    </w:p>
    <w:p w14:paraId="46166A24" w14:textId="77777777" w:rsidR="00EB1F44" w:rsidRPr="000F7A01" w:rsidRDefault="00EB1F44" w:rsidP="00EB1F44">
      <w:pPr>
        <w:ind w:left="360"/>
        <w:contextualSpacing/>
        <w:rPr>
          <w:rFonts w:ascii="Arial" w:hAnsi="Arial" w:cs="Arial"/>
        </w:rPr>
      </w:pPr>
    </w:p>
    <w:p w14:paraId="74375A4D" w14:textId="77777777" w:rsidR="000835BC" w:rsidRPr="000F7A01" w:rsidRDefault="00EB1F44" w:rsidP="00EB1F44">
      <w:pPr>
        <w:ind w:left="360"/>
        <w:contextualSpacing/>
        <w:rPr>
          <w:rStyle w:val="normaltextrun"/>
          <w:rFonts w:ascii="Arial" w:eastAsia="Times New Roman" w:hAnsi="Arial" w:cs="Arial"/>
        </w:rPr>
      </w:pPr>
      <w:r w:rsidRPr="000F7A01">
        <w:rPr>
          <w:rStyle w:val="normaltextrun"/>
          <w:rFonts w:ascii="Arial" w:eastAsia="Times New Roman" w:hAnsi="Arial" w:cs="Arial"/>
        </w:rPr>
        <w:t xml:space="preserve">In 2020 and early 2021 rulemakings, the Bureau extended the expiration of the Temporary GSE QM “patch” and finalized a new and more flexible General QM definition. In addition, it proposed a new Seasoned QM category in recognition that longer-tenured mortgages with no or minimal defaults are, by definition, sustainable and free of ATR issues. The Bureau allowed the new General QM definition to become effective but delayed the mandatory compliance deadline for its use until October 1, 2022, simultaneously signaling an intention to review and revise the rule. </w:t>
      </w:r>
    </w:p>
    <w:p w14:paraId="571CE1A7" w14:textId="77777777" w:rsidR="000835BC" w:rsidRPr="000F7A01" w:rsidRDefault="000835BC" w:rsidP="00EB1F44">
      <w:pPr>
        <w:ind w:left="360"/>
        <w:contextualSpacing/>
        <w:rPr>
          <w:rStyle w:val="normaltextrun"/>
          <w:rFonts w:ascii="Arial" w:eastAsia="Times New Roman" w:hAnsi="Arial" w:cs="Arial"/>
        </w:rPr>
      </w:pPr>
    </w:p>
    <w:p w14:paraId="64F2BCCB" w14:textId="76CF164B" w:rsidR="00EB1F44" w:rsidRPr="000F7A01" w:rsidRDefault="00EB1F44" w:rsidP="00EB1F44">
      <w:pPr>
        <w:ind w:left="360"/>
        <w:contextualSpacing/>
        <w:rPr>
          <w:rStyle w:val="normaltextrun"/>
          <w:rFonts w:ascii="Arial" w:eastAsia="Times New Roman" w:hAnsi="Arial" w:cs="Arial"/>
        </w:rPr>
      </w:pPr>
      <w:r w:rsidRPr="000F7A01">
        <w:rPr>
          <w:rStyle w:val="normaltextrun"/>
          <w:rFonts w:ascii="Arial" w:eastAsia="Times New Roman" w:hAnsi="Arial" w:cs="Arial"/>
        </w:rPr>
        <w:t>While this extended the theoretical availability of the old, DTI-based General QM definition and the Temporary GSE QM “patch”, the extension was largely moot as the government-sponsored enterprises (GSEs)</w:t>
      </w:r>
      <w:r w:rsidR="00A7319E" w:rsidRPr="000F7A01">
        <w:rPr>
          <w:rStyle w:val="normaltextrun"/>
          <w:rFonts w:ascii="Arial" w:eastAsia="Times New Roman" w:hAnsi="Arial" w:cs="Arial"/>
        </w:rPr>
        <w:t>,</w:t>
      </w:r>
      <w:r w:rsidRPr="000F7A01">
        <w:rPr>
          <w:rStyle w:val="normaltextrun"/>
          <w:rFonts w:ascii="Arial" w:eastAsia="Times New Roman" w:hAnsi="Arial" w:cs="Arial"/>
        </w:rPr>
        <w:t xml:space="preserve"> under the conservatorship of the Federal Housing Finance Agency (FHFA)</w:t>
      </w:r>
      <w:r w:rsidR="00A7319E" w:rsidRPr="000F7A01">
        <w:rPr>
          <w:rStyle w:val="normaltextrun"/>
          <w:rFonts w:ascii="Arial" w:eastAsia="Times New Roman" w:hAnsi="Arial" w:cs="Arial"/>
        </w:rPr>
        <w:t>,</w:t>
      </w:r>
      <w:r w:rsidRPr="000F7A01">
        <w:rPr>
          <w:rStyle w:val="normaltextrun"/>
          <w:rFonts w:ascii="Arial" w:eastAsia="Times New Roman" w:hAnsi="Arial" w:cs="Arial"/>
        </w:rPr>
        <w:t xml:space="preserve"> issued their own policies declining to purchase loans based on these QM definitions. This means the majority of credit unions must implement the General QM definition without regard to the Bureau’s extension and knowing that changes to the rule are likely in the short-term.</w:t>
      </w:r>
    </w:p>
    <w:p w14:paraId="4F41B028" w14:textId="77777777" w:rsidR="00EB1F44" w:rsidRPr="000F7A01" w:rsidRDefault="00EB1F44" w:rsidP="00EB1F44">
      <w:pPr>
        <w:ind w:left="360"/>
        <w:contextualSpacing/>
        <w:rPr>
          <w:rStyle w:val="normaltextrun"/>
          <w:rFonts w:ascii="Arial" w:eastAsia="Times New Roman" w:hAnsi="Arial" w:cs="Arial"/>
        </w:rPr>
      </w:pPr>
    </w:p>
    <w:p w14:paraId="260FC467" w14:textId="639BCE78" w:rsidR="00EB1F44" w:rsidRPr="000F7A01" w:rsidRDefault="00EB1F44" w:rsidP="00EB1F44">
      <w:pPr>
        <w:pStyle w:val="ListParagraph"/>
        <w:numPr>
          <w:ilvl w:val="0"/>
          <w:numId w:val="22"/>
        </w:numPr>
        <w:rPr>
          <w:rStyle w:val="normaltextrun"/>
          <w:rFonts w:ascii="Arial" w:eastAsia="Times New Roman" w:hAnsi="Arial" w:cs="Arial"/>
          <w:sz w:val="24"/>
          <w:szCs w:val="24"/>
        </w:rPr>
      </w:pPr>
      <w:r w:rsidRPr="000F7A01">
        <w:rPr>
          <w:rStyle w:val="normaltextrun"/>
          <w:rFonts w:ascii="Arial" w:eastAsia="Times New Roman" w:hAnsi="Arial" w:cs="Arial"/>
          <w:sz w:val="24"/>
          <w:szCs w:val="24"/>
        </w:rPr>
        <w:t xml:space="preserve">We urge the Bureau to work closely in coordination with the FHFA, NCUA, and other regulators to avoid this kind of regulatory conflict, confusion, and waste of credit union resources. Further, we urge the Bureau to engage stakeholders in discussions on potential policy changes so it can understand potential consequences before it </w:t>
      </w:r>
      <w:r w:rsidR="00C67316" w:rsidRPr="000F7A01">
        <w:rPr>
          <w:rStyle w:val="normaltextrun"/>
          <w:rFonts w:ascii="Arial" w:eastAsia="Times New Roman" w:hAnsi="Arial" w:cs="Arial"/>
          <w:sz w:val="24"/>
          <w:szCs w:val="24"/>
        </w:rPr>
        <w:t>acts</w:t>
      </w:r>
      <w:r w:rsidRPr="000F7A01">
        <w:rPr>
          <w:rStyle w:val="normaltextrun"/>
          <w:rFonts w:ascii="Arial" w:eastAsia="Times New Roman" w:hAnsi="Arial" w:cs="Arial"/>
          <w:sz w:val="24"/>
          <w:szCs w:val="24"/>
        </w:rPr>
        <w:t>.</w:t>
      </w:r>
    </w:p>
    <w:p w14:paraId="6B4CCA00" w14:textId="77777777" w:rsidR="000835BC" w:rsidRPr="000F7A01" w:rsidRDefault="000835BC" w:rsidP="000835BC">
      <w:pPr>
        <w:pStyle w:val="ListParagraph"/>
        <w:rPr>
          <w:rStyle w:val="normaltextrun"/>
          <w:rFonts w:ascii="Arial" w:eastAsia="Times New Roman" w:hAnsi="Arial" w:cs="Arial"/>
          <w:sz w:val="24"/>
          <w:szCs w:val="24"/>
        </w:rPr>
      </w:pPr>
    </w:p>
    <w:p w14:paraId="266D84CF" w14:textId="5873C056" w:rsidR="00A05418" w:rsidRPr="00C46F04" w:rsidRDefault="00EB1F44" w:rsidP="00042BE5">
      <w:pPr>
        <w:pStyle w:val="ListParagraph"/>
        <w:numPr>
          <w:ilvl w:val="0"/>
          <w:numId w:val="22"/>
        </w:numPr>
        <w:rPr>
          <w:rFonts w:ascii="Arial" w:eastAsia="Times New Roman" w:hAnsi="Arial" w:cs="Arial"/>
        </w:rPr>
      </w:pPr>
      <w:r w:rsidRPr="00C46F04">
        <w:rPr>
          <w:rStyle w:val="normaltextrun"/>
          <w:rFonts w:ascii="Arial" w:eastAsia="Times New Roman" w:hAnsi="Arial" w:cs="Arial"/>
          <w:sz w:val="24"/>
          <w:szCs w:val="24"/>
        </w:rPr>
        <w:t xml:space="preserve">Further, we recommend the Bureau allow the new General QM definition to stand as finalized and for the mandatory compliance deadline to pass on October 1, 2022. </w:t>
      </w:r>
      <w:r w:rsidR="00C46F04" w:rsidRPr="00C46F04">
        <w:rPr>
          <w:rStyle w:val="normaltextrun"/>
          <w:rFonts w:ascii="Arial" w:eastAsia="Times New Roman" w:hAnsi="Arial" w:cs="Arial"/>
          <w:sz w:val="24"/>
          <w:szCs w:val="24"/>
        </w:rPr>
        <w:br/>
      </w:r>
      <w:r w:rsidR="00A7319E" w:rsidRPr="00C46F04">
        <w:rPr>
          <w:rStyle w:val="normaltextrun"/>
          <w:rFonts w:ascii="Arial" w:eastAsia="Times New Roman" w:hAnsi="Arial" w:cs="Arial"/>
          <w:sz w:val="24"/>
          <w:szCs w:val="24"/>
        </w:rPr>
        <w:lastRenderedPageBreak/>
        <w:t>W</w:t>
      </w:r>
      <w:r w:rsidRPr="00C46F04">
        <w:rPr>
          <w:rStyle w:val="normaltextrun"/>
          <w:rFonts w:ascii="Arial" w:eastAsia="Times New Roman" w:hAnsi="Arial" w:cs="Arial"/>
          <w:sz w:val="24"/>
          <w:szCs w:val="24"/>
        </w:rPr>
        <w:t xml:space="preserve">e </w:t>
      </w:r>
      <w:r w:rsidR="00A7319E" w:rsidRPr="00C46F04">
        <w:rPr>
          <w:rStyle w:val="normaltextrun"/>
          <w:rFonts w:ascii="Arial" w:eastAsia="Times New Roman" w:hAnsi="Arial" w:cs="Arial"/>
          <w:sz w:val="24"/>
          <w:szCs w:val="24"/>
        </w:rPr>
        <w:t xml:space="preserve">also </w:t>
      </w:r>
      <w:r w:rsidRPr="00C46F04">
        <w:rPr>
          <w:rStyle w:val="normaltextrun"/>
          <w:rFonts w:ascii="Arial" w:eastAsia="Times New Roman" w:hAnsi="Arial" w:cs="Arial"/>
          <w:sz w:val="24"/>
          <w:szCs w:val="24"/>
        </w:rPr>
        <w:t xml:space="preserve">recommend the Bureau issue a statement to that effect to provide clarity and certainty for lenders. The Bureau can then study the effectiveness of the price-based </w:t>
      </w:r>
      <w:r w:rsidR="00C67316" w:rsidRPr="00C46F04">
        <w:rPr>
          <w:rStyle w:val="normaltextrun"/>
          <w:rFonts w:ascii="Arial" w:eastAsia="Times New Roman" w:hAnsi="Arial" w:cs="Arial"/>
          <w:sz w:val="24"/>
          <w:szCs w:val="24"/>
        </w:rPr>
        <w:t>definition and</w:t>
      </w:r>
      <w:r w:rsidRPr="00C46F04">
        <w:rPr>
          <w:rStyle w:val="normaltextrun"/>
          <w:rFonts w:ascii="Arial" w:eastAsia="Times New Roman" w:hAnsi="Arial" w:cs="Arial"/>
          <w:sz w:val="24"/>
          <w:szCs w:val="24"/>
        </w:rPr>
        <w:t xml:space="preserve"> release a new General QM definition or additional QM definitions based on its findings. </w:t>
      </w:r>
    </w:p>
    <w:p w14:paraId="7F60BA1D" w14:textId="77777777" w:rsidR="00A05418" w:rsidRPr="00A05418" w:rsidRDefault="00A05418" w:rsidP="00A05418">
      <w:pPr>
        <w:rPr>
          <w:rFonts w:ascii="Arial" w:eastAsia="Times New Roman" w:hAnsi="Arial" w:cs="Arial"/>
        </w:rPr>
      </w:pPr>
    </w:p>
    <w:p w14:paraId="08B00FC6" w14:textId="77777777" w:rsidR="006A637B" w:rsidRPr="000F7A01" w:rsidRDefault="006A637B" w:rsidP="006A637B">
      <w:pPr>
        <w:ind w:firstLine="360"/>
        <w:contextualSpacing/>
        <w:rPr>
          <w:rFonts w:ascii="Arial" w:hAnsi="Arial" w:cs="Arial"/>
          <w:bCs/>
          <w:u w:val="single"/>
        </w:rPr>
      </w:pPr>
      <w:r w:rsidRPr="000F7A01">
        <w:rPr>
          <w:rFonts w:ascii="Arial" w:hAnsi="Arial" w:cs="Arial"/>
          <w:bCs/>
          <w:u w:val="single"/>
        </w:rPr>
        <w:t>Regulation by Enforcement</w:t>
      </w:r>
    </w:p>
    <w:p w14:paraId="6559E642" w14:textId="77777777" w:rsidR="006A637B" w:rsidRPr="000F7A01" w:rsidRDefault="006A637B" w:rsidP="006A637B">
      <w:pPr>
        <w:contextualSpacing/>
        <w:rPr>
          <w:rFonts w:ascii="Arial" w:hAnsi="Arial" w:cs="Arial"/>
        </w:rPr>
      </w:pPr>
    </w:p>
    <w:p w14:paraId="44E36F2F" w14:textId="67FD3876" w:rsidR="006A637B" w:rsidRPr="000F7A01" w:rsidRDefault="006A637B" w:rsidP="006A637B">
      <w:pPr>
        <w:pStyle w:val="paragraph"/>
        <w:spacing w:before="0" w:beforeAutospacing="0" w:after="0" w:afterAutospacing="0"/>
        <w:ind w:left="360"/>
        <w:contextualSpacing/>
        <w:textAlignment w:val="baseline"/>
        <w:rPr>
          <w:rStyle w:val="normaltextrun"/>
          <w:rFonts w:ascii="Arial" w:hAnsi="Arial" w:cs="Arial"/>
        </w:rPr>
      </w:pPr>
      <w:r w:rsidRPr="000F7A01">
        <w:rPr>
          <w:rStyle w:val="normaltextrun"/>
          <w:rFonts w:ascii="Arial" w:hAnsi="Arial" w:cs="Arial"/>
        </w:rPr>
        <w:t xml:space="preserve">In the past, the Bureau engaged in the practice of “regulation by enforcement,” especially in regard to the “abusiveness” standard. The Bureau’s “I know it when I see it” approach resulted in uncertainty </w:t>
      </w:r>
      <w:r w:rsidR="00A7319E" w:rsidRPr="000F7A01">
        <w:rPr>
          <w:rStyle w:val="normaltextrun"/>
          <w:rFonts w:ascii="Arial" w:hAnsi="Arial" w:cs="Arial"/>
        </w:rPr>
        <w:t>in</w:t>
      </w:r>
      <w:r w:rsidRPr="000F7A01">
        <w:rPr>
          <w:rStyle w:val="normaltextrun"/>
          <w:rFonts w:ascii="Arial" w:hAnsi="Arial" w:cs="Arial"/>
        </w:rPr>
        <w:t xml:space="preserve"> the financial services marketplace and presented due process concerns.</w:t>
      </w:r>
    </w:p>
    <w:p w14:paraId="642D258E" w14:textId="77777777" w:rsidR="006A637B" w:rsidRPr="000F7A01" w:rsidRDefault="006A637B" w:rsidP="006A637B">
      <w:pPr>
        <w:pStyle w:val="paragraph"/>
        <w:spacing w:before="0" w:beforeAutospacing="0" w:after="0" w:afterAutospacing="0"/>
        <w:ind w:left="360"/>
        <w:contextualSpacing/>
        <w:textAlignment w:val="baseline"/>
        <w:rPr>
          <w:rStyle w:val="normaltextrun"/>
          <w:rFonts w:ascii="Arial" w:hAnsi="Arial" w:cs="Arial"/>
        </w:rPr>
      </w:pPr>
    </w:p>
    <w:p w14:paraId="604A3263" w14:textId="77777777" w:rsidR="00A7319E" w:rsidRPr="000F7A01" w:rsidRDefault="006A637B" w:rsidP="006A637B">
      <w:pPr>
        <w:pStyle w:val="paragraph"/>
        <w:numPr>
          <w:ilvl w:val="0"/>
          <w:numId w:val="22"/>
        </w:numPr>
        <w:spacing w:before="0" w:beforeAutospacing="0" w:after="0" w:afterAutospacing="0"/>
        <w:contextualSpacing/>
        <w:textAlignment w:val="baseline"/>
        <w:rPr>
          <w:rStyle w:val="normaltextrun"/>
          <w:rFonts w:ascii="Arial" w:hAnsi="Arial" w:cs="Arial"/>
        </w:rPr>
      </w:pPr>
      <w:r w:rsidRPr="000F7A01">
        <w:rPr>
          <w:rStyle w:val="normaltextrun"/>
          <w:rFonts w:ascii="Arial" w:hAnsi="Arial" w:cs="Arial"/>
        </w:rPr>
        <w:t>We support the Bureau taking meaningful steps toward establishing clear standards for and transparency in all aspects of its authority.</w:t>
      </w:r>
    </w:p>
    <w:p w14:paraId="33069D5E" w14:textId="786BF2B0" w:rsidR="006A637B" w:rsidRPr="000F7A01" w:rsidRDefault="006A637B" w:rsidP="00A7319E">
      <w:pPr>
        <w:pStyle w:val="paragraph"/>
        <w:spacing w:before="0" w:beforeAutospacing="0" w:after="0" w:afterAutospacing="0"/>
        <w:ind w:left="720"/>
        <w:contextualSpacing/>
        <w:textAlignment w:val="baseline"/>
        <w:rPr>
          <w:rStyle w:val="normaltextrun"/>
          <w:rFonts w:ascii="Arial" w:hAnsi="Arial" w:cs="Arial"/>
        </w:rPr>
      </w:pPr>
      <w:r w:rsidRPr="000F7A01">
        <w:rPr>
          <w:rStyle w:val="normaltextrun"/>
          <w:rFonts w:ascii="Arial" w:hAnsi="Arial" w:cs="Arial"/>
        </w:rPr>
        <w:t xml:space="preserve"> </w:t>
      </w:r>
    </w:p>
    <w:p w14:paraId="1FCFDE64" w14:textId="63ACDC5B" w:rsidR="006A637B" w:rsidRPr="000F7A01" w:rsidRDefault="006A637B" w:rsidP="006A637B">
      <w:pPr>
        <w:pStyle w:val="paragraph"/>
        <w:numPr>
          <w:ilvl w:val="0"/>
          <w:numId w:val="22"/>
        </w:numPr>
        <w:spacing w:before="0" w:beforeAutospacing="0" w:after="0" w:afterAutospacing="0"/>
        <w:contextualSpacing/>
        <w:textAlignment w:val="baseline"/>
        <w:rPr>
          <w:rFonts w:ascii="Arial" w:hAnsi="Arial" w:cs="Arial"/>
        </w:rPr>
      </w:pPr>
      <w:r w:rsidRPr="000F7A01">
        <w:rPr>
          <w:rStyle w:val="normaltextrun"/>
          <w:rFonts w:ascii="Arial" w:hAnsi="Arial" w:cs="Arial"/>
        </w:rPr>
        <w:t xml:space="preserve">If the Bureau wants to make actionable policy, then it should either propose regulations through the notice-and-comment process or issue policy statements that </w:t>
      </w:r>
      <w:r w:rsidR="00A7319E" w:rsidRPr="000F7A01">
        <w:rPr>
          <w:rStyle w:val="normaltextrun"/>
          <w:rFonts w:ascii="Arial" w:hAnsi="Arial" w:cs="Arial"/>
        </w:rPr>
        <w:t xml:space="preserve">clarify </w:t>
      </w:r>
      <w:r w:rsidRPr="000F7A01">
        <w:rPr>
          <w:rStyle w:val="normaltextrun"/>
          <w:rFonts w:ascii="Arial" w:hAnsi="Arial" w:cs="Arial"/>
        </w:rPr>
        <w:t xml:space="preserve">expectations for regulated entities.  </w:t>
      </w:r>
    </w:p>
    <w:p w14:paraId="0493617F" w14:textId="77777777" w:rsidR="006A637B" w:rsidRPr="000F7A01" w:rsidRDefault="006A637B" w:rsidP="006A637B">
      <w:pPr>
        <w:rPr>
          <w:rFonts w:ascii="Arial" w:hAnsi="Arial" w:cs="Arial"/>
        </w:rPr>
      </w:pPr>
    </w:p>
    <w:p w14:paraId="4E04A1E7" w14:textId="77777777" w:rsidR="00EB1F44" w:rsidRPr="000F7A01" w:rsidRDefault="00EB1F44" w:rsidP="006A637B">
      <w:pPr>
        <w:ind w:firstLine="360"/>
        <w:contextualSpacing/>
        <w:rPr>
          <w:rFonts w:ascii="Arial" w:hAnsi="Arial" w:cs="Arial"/>
          <w:bCs/>
          <w:u w:val="single"/>
        </w:rPr>
      </w:pPr>
    </w:p>
    <w:p w14:paraId="1EF0AAE6" w14:textId="77777777" w:rsidR="00EB1F44" w:rsidRPr="000F7A01" w:rsidRDefault="00EB1F44" w:rsidP="00EB1F44">
      <w:pPr>
        <w:ind w:firstLine="360"/>
        <w:contextualSpacing/>
        <w:rPr>
          <w:rFonts w:ascii="Arial" w:hAnsi="Arial" w:cs="Arial"/>
          <w:bCs/>
          <w:u w:val="single"/>
        </w:rPr>
      </w:pPr>
      <w:r w:rsidRPr="000F7A01">
        <w:rPr>
          <w:rFonts w:ascii="Arial" w:hAnsi="Arial" w:cs="Arial"/>
          <w:bCs/>
          <w:u w:val="single"/>
        </w:rPr>
        <w:t>Home Mortgage Disclosure Act (HMDA)</w:t>
      </w:r>
    </w:p>
    <w:p w14:paraId="11D90203" w14:textId="77777777" w:rsidR="00EB1F44" w:rsidRPr="000F7A01" w:rsidRDefault="00EB1F44" w:rsidP="00EB1F44">
      <w:pPr>
        <w:contextualSpacing/>
        <w:rPr>
          <w:rFonts w:ascii="Arial" w:hAnsi="Arial" w:cs="Arial"/>
        </w:rPr>
      </w:pPr>
    </w:p>
    <w:p w14:paraId="4D2EF95E" w14:textId="77777777" w:rsidR="00EB1F44" w:rsidRPr="000F7A01" w:rsidRDefault="00EB1F44" w:rsidP="00EB1F44">
      <w:pPr>
        <w:pStyle w:val="paragraph"/>
        <w:spacing w:before="0" w:beforeAutospacing="0" w:after="0" w:afterAutospacing="0"/>
        <w:ind w:left="360"/>
        <w:contextualSpacing/>
        <w:textAlignment w:val="baseline"/>
        <w:rPr>
          <w:rStyle w:val="eop"/>
          <w:rFonts w:ascii="Arial" w:hAnsi="Arial" w:cs="Arial"/>
        </w:rPr>
      </w:pPr>
      <w:r w:rsidRPr="000F7A01">
        <w:rPr>
          <w:rStyle w:val="normaltextrun"/>
          <w:rFonts w:ascii="Arial" w:hAnsi="Arial" w:cs="Arial"/>
        </w:rPr>
        <w:t>The Bureau has repeatedly acknowledged that credit unions maintained sound credit practices through the economic crisis and did not engage in the practices that led to the crash of the housing market. Nevertheless, in 2015, the CFPB chose to adopt a HMDA Final Rule that disproportionately burdened credit unions with finite resources despite no evidence of past wrongful conduct.</w:t>
      </w:r>
    </w:p>
    <w:p w14:paraId="1E21618B" w14:textId="77777777" w:rsidR="00EB1F44" w:rsidRPr="000F7A01" w:rsidRDefault="00EB1F44" w:rsidP="00EB1F44">
      <w:pPr>
        <w:pStyle w:val="paragraph"/>
        <w:spacing w:before="0" w:beforeAutospacing="0" w:after="0" w:afterAutospacing="0"/>
        <w:ind w:left="360"/>
        <w:contextualSpacing/>
        <w:textAlignment w:val="baseline"/>
        <w:rPr>
          <w:rFonts w:ascii="Arial" w:hAnsi="Arial" w:cs="Arial"/>
        </w:rPr>
      </w:pPr>
    </w:p>
    <w:p w14:paraId="01A7D589" w14:textId="77777777" w:rsidR="00EB1F44" w:rsidRPr="000F7A01" w:rsidRDefault="00EB1F44" w:rsidP="00EB1F44">
      <w:pPr>
        <w:pStyle w:val="paragraph"/>
        <w:spacing w:before="0" w:beforeAutospacing="0" w:after="0" w:afterAutospacing="0"/>
        <w:ind w:left="360"/>
        <w:contextualSpacing/>
        <w:textAlignment w:val="baseline"/>
        <w:rPr>
          <w:rStyle w:val="normaltextrun"/>
          <w:rFonts w:ascii="Arial" w:hAnsi="Arial" w:cs="Arial"/>
        </w:rPr>
      </w:pPr>
      <w:r w:rsidRPr="000F7A01">
        <w:rPr>
          <w:rStyle w:val="normaltextrun"/>
          <w:rFonts w:ascii="Arial" w:hAnsi="Arial" w:cs="Arial"/>
        </w:rPr>
        <w:t xml:space="preserve">While both the CFPB and Congress recently provided meaningful HMDA relief for smaller lenders, we recommend the Bureau adopt additional accommodations, such as:  </w:t>
      </w:r>
    </w:p>
    <w:p w14:paraId="4E72E4C7" w14:textId="3154FF26" w:rsidR="00EB1F44" w:rsidRPr="000F7A01" w:rsidRDefault="00EB1F44" w:rsidP="00A0115D">
      <w:pPr>
        <w:pStyle w:val="paragraph"/>
        <w:spacing w:before="0" w:beforeAutospacing="0" w:after="0" w:afterAutospacing="0"/>
        <w:contextualSpacing/>
        <w:textAlignment w:val="baseline"/>
        <w:rPr>
          <w:rStyle w:val="normaltextrun"/>
          <w:rFonts w:ascii="Arial" w:hAnsi="Arial" w:cs="Arial"/>
        </w:rPr>
      </w:pPr>
      <w:r w:rsidRPr="000F7A01">
        <w:rPr>
          <w:rStyle w:val="normaltextrun"/>
          <w:rFonts w:ascii="Arial" w:hAnsi="Arial" w:cs="Arial"/>
        </w:rPr>
        <w:t> </w:t>
      </w:r>
      <w:r w:rsidRPr="000F7A01">
        <w:rPr>
          <w:rStyle w:val="eop"/>
          <w:rFonts w:ascii="Arial" w:hAnsi="Arial" w:cs="Arial"/>
        </w:rPr>
        <w:t> </w:t>
      </w:r>
    </w:p>
    <w:p w14:paraId="28BF75AE" w14:textId="77777777" w:rsidR="00EB1F44" w:rsidRPr="000F7A01" w:rsidRDefault="00EB1F44" w:rsidP="00EB1F44">
      <w:pPr>
        <w:pStyle w:val="paragraph"/>
        <w:numPr>
          <w:ilvl w:val="0"/>
          <w:numId w:val="17"/>
        </w:numPr>
        <w:spacing w:before="0" w:beforeAutospacing="0" w:after="0" w:afterAutospacing="0"/>
        <w:contextualSpacing/>
        <w:textAlignment w:val="baseline"/>
        <w:rPr>
          <w:rFonts w:ascii="Arial" w:hAnsi="Arial" w:cs="Arial"/>
        </w:rPr>
      </w:pPr>
      <w:r w:rsidRPr="000F7A01">
        <w:rPr>
          <w:rStyle w:val="normaltextrun"/>
          <w:rFonts w:ascii="Arial" w:hAnsi="Arial" w:cs="Arial"/>
        </w:rPr>
        <w:t>Allow reporting for Home Equity Lines of Credit (HELOCs) to once again be voluntary;</w:t>
      </w:r>
      <w:r w:rsidRPr="000F7A01">
        <w:rPr>
          <w:rStyle w:val="eop"/>
          <w:rFonts w:ascii="Arial" w:hAnsi="Arial" w:cs="Arial"/>
        </w:rPr>
        <w:t> </w:t>
      </w:r>
    </w:p>
    <w:p w14:paraId="54126C07" w14:textId="77777777" w:rsidR="00EB1F44" w:rsidRPr="000F7A01" w:rsidRDefault="00EB1F44" w:rsidP="00EB1F44">
      <w:pPr>
        <w:pStyle w:val="paragraph"/>
        <w:spacing w:before="0" w:beforeAutospacing="0" w:after="0" w:afterAutospacing="0"/>
        <w:ind w:left="720"/>
        <w:contextualSpacing/>
        <w:textAlignment w:val="baseline"/>
        <w:rPr>
          <w:rStyle w:val="normaltextrun"/>
          <w:rFonts w:ascii="Arial" w:hAnsi="Arial" w:cs="Arial"/>
        </w:rPr>
      </w:pPr>
    </w:p>
    <w:p w14:paraId="582E1461" w14:textId="56624AAE" w:rsidR="00EB1F44" w:rsidRPr="000F7A01" w:rsidRDefault="00EB1F44" w:rsidP="00A0115D">
      <w:pPr>
        <w:pStyle w:val="paragraph"/>
        <w:numPr>
          <w:ilvl w:val="0"/>
          <w:numId w:val="17"/>
        </w:numPr>
        <w:spacing w:before="0" w:beforeAutospacing="0" w:after="0" w:afterAutospacing="0"/>
        <w:contextualSpacing/>
        <w:textAlignment w:val="baseline"/>
        <w:rPr>
          <w:rStyle w:val="normaltextrun"/>
          <w:rFonts w:ascii="Arial" w:hAnsi="Arial" w:cs="Arial"/>
        </w:rPr>
      </w:pPr>
      <w:r w:rsidRPr="000F7A01">
        <w:rPr>
          <w:rStyle w:val="normaltextrun"/>
          <w:rFonts w:ascii="Arial" w:hAnsi="Arial" w:cs="Arial"/>
        </w:rPr>
        <w:t>Reduce the HMDA data set for all reporters to the data points required by statute;</w:t>
      </w:r>
      <w:r w:rsidR="00A0115D" w:rsidRPr="000F7A01">
        <w:rPr>
          <w:rStyle w:val="normaltextrun"/>
          <w:rFonts w:ascii="Arial" w:hAnsi="Arial" w:cs="Arial"/>
        </w:rPr>
        <w:t xml:space="preserve"> </w:t>
      </w:r>
      <w:r w:rsidRPr="000F7A01">
        <w:rPr>
          <w:rStyle w:val="normaltextrun"/>
          <w:rFonts w:ascii="Arial" w:hAnsi="Arial" w:cs="Arial"/>
        </w:rPr>
        <w:t>and</w:t>
      </w:r>
    </w:p>
    <w:p w14:paraId="7AD0AB58" w14:textId="77777777" w:rsidR="00EB1F44" w:rsidRPr="000F7A01" w:rsidRDefault="00EB1F44" w:rsidP="00EB1F44">
      <w:pPr>
        <w:pStyle w:val="paragraph"/>
        <w:spacing w:before="0" w:beforeAutospacing="0" w:after="0" w:afterAutospacing="0"/>
        <w:contextualSpacing/>
        <w:textAlignment w:val="baseline"/>
        <w:rPr>
          <w:rFonts w:ascii="Arial" w:hAnsi="Arial" w:cs="Arial"/>
        </w:rPr>
      </w:pPr>
    </w:p>
    <w:p w14:paraId="52D964EA" w14:textId="79D0AFC9" w:rsidR="00EB1F44" w:rsidRPr="000F7A01" w:rsidRDefault="00EB1F44" w:rsidP="00EB1F44">
      <w:pPr>
        <w:pStyle w:val="paragraph"/>
        <w:numPr>
          <w:ilvl w:val="0"/>
          <w:numId w:val="17"/>
        </w:numPr>
        <w:spacing w:before="0" w:beforeAutospacing="0" w:after="0" w:afterAutospacing="0"/>
        <w:contextualSpacing/>
        <w:textAlignment w:val="baseline"/>
        <w:rPr>
          <w:rFonts w:ascii="Arial" w:hAnsi="Arial" w:cs="Arial"/>
        </w:rPr>
      </w:pPr>
      <w:r w:rsidRPr="000F7A01">
        <w:rPr>
          <w:rStyle w:val="normaltextrun"/>
          <w:rFonts w:ascii="Arial" w:hAnsi="Arial" w:cs="Arial"/>
        </w:rPr>
        <w:t>Reconsider the privacy balancing test used to determine which HMDA data points are made available to the public in favor of consumer privacy. </w:t>
      </w:r>
      <w:r w:rsidRPr="000F7A01">
        <w:rPr>
          <w:rStyle w:val="eop"/>
          <w:rFonts w:ascii="Arial" w:hAnsi="Arial" w:cs="Arial"/>
        </w:rPr>
        <w:t> </w:t>
      </w:r>
    </w:p>
    <w:p w14:paraId="245F6D24" w14:textId="77777777" w:rsidR="00EB1F44" w:rsidRPr="000F7A01" w:rsidRDefault="00EB1F44" w:rsidP="00EB1F44">
      <w:pPr>
        <w:contextualSpacing/>
        <w:rPr>
          <w:rFonts w:ascii="Arial" w:hAnsi="Arial" w:cs="Arial"/>
          <w:bCs/>
          <w:u w:val="single"/>
        </w:rPr>
      </w:pPr>
    </w:p>
    <w:p w14:paraId="775F5299" w14:textId="77777777" w:rsidR="00EB1F44" w:rsidRPr="000F7A01" w:rsidRDefault="00EB1F44" w:rsidP="006A637B">
      <w:pPr>
        <w:ind w:firstLine="360"/>
        <w:contextualSpacing/>
        <w:rPr>
          <w:rFonts w:ascii="Arial" w:hAnsi="Arial" w:cs="Arial"/>
          <w:bCs/>
          <w:u w:val="single"/>
        </w:rPr>
      </w:pPr>
    </w:p>
    <w:p w14:paraId="250FFD56" w14:textId="7BEABCF1" w:rsidR="006A637B" w:rsidRPr="000F7A01" w:rsidRDefault="006A637B" w:rsidP="006A637B">
      <w:pPr>
        <w:ind w:firstLine="360"/>
        <w:contextualSpacing/>
        <w:rPr>
          <w:rFonts w:ascii="Arial" w:hAnsi="Arial" w:cs="Arial"/>
          <w:bCs/>
          <w:u w:val="single"/>
        </w:rPr>
      </w:pPr>
      <w:r w:rsidRPr="000F7A01">
        <w:rPr>
          <w:rFonts w:ascii="Arial" w:hAnsi="Arial" w:cs="Arial"/>
          <w:bCs/>
          <w:u w:val="single"/>
        </w:rPr>
        <w:t xml:space="preserve">Short-term, Small Dollar Lending </w:t>
      </w:r>
    </w:p>
    <w:p w14:paraId="7176888F" w14:textId="77777777" w:rsidR="006A637B" w:rsidRPr="000F7A01" w:rsidRDefault="006A637B" w:rsidP="006A637B">
      <w:pPr>
        <w:contextualSpacing/>
        <w:rPr>
          <w:rFonts w:ascii="Arial" w:hAnsi="Arial" w:cs="Arial"/>
        </w:rPr>
      </w:pPr>
    </w:p>
    <w:p w14:paraId="6B61B841" w14:textId="77777777" w:rsidR="006A637B" w:rsidRPr="000F7A01" w:rsidRDefault="006A637B" w:rsidP="006A637B">
      <w:pPr>
        <w:ind w:left="360"/>
        <w:textAlignment w:val="baseline"/>
        <w:rPr>
          <w:rFonts w:ascii="Arial" w:eastAsia="Times New Roman" w:hAnsi="Arial" w:cs="Arial"/>
        </w:rPr>
      </w:pPr>
      <w:r w:rsidRPr="000F7A01">
        <w:rPr>
          <w:rFonts w:ascii="Arial" w:eastAsia="Times New Roman" w:hAnsi="Arial" w:cs="Arial"/>
        </w:rPr>
        <w:t>Credit unions provide the safest and most affordable loan options for consumers in need of emergency credit. Consumers’ access to emergency credit is especially important given the current environment as evidenced by the joint statement from the federal banking regulators encouraging financial institutions to provide responsible small dollar-lending in response to COVID-19. </w:t>
      </w:r>
    </w:p>
    <w:p w14:paraId="1EE67B71" w14:textId="77777777" w:rsidR="006A637B" w:rsidRPr="000F7A01" w:rsidRDefault="006A637B" w:rsidP="006A637B">
      <w:pPr>
        <w:pStyle w:val="ListParagraph"/>
        <w:spacing w:line="240" w:lineRule="auto"/>
        <w:textAlignment w:val="baseline"/>
        <w:rPr>
          <w:rFonts w:ascii="Arial" w:eastAsia="Times New Roman" w:hAnsi="Arial" w:cs="Arial"/>
          <w:sz w:val="24"/>
          <w:szCs w:val="24"/>
        </w:rPr>
      </w:pPr>
    </w:p>
    <w:p w14:paraId="0B1A7233" w14:textId="4F72E759" w:rsidR="006A637B" w:rsidRPr="000F7A01" w:rsidRDefault="006A637B" w:rsidP="006A637B">
      <w:pPr>
        <w:pStyle w:val="ListParagraph"/>
        <w:numPr>
          <w:ilvl w:val="0"/>
          <w:numId w:val="20"/>
        </w:numPr>
        <w:spacing w:line="240" w:lineRule="auto"/>
        <w:ind w:left="720"/>
        <w:textAlignment w:val="baseline"/>
        <w:rPr>
          <w:rFonts w:ascii="Arial" w:eastAsia="Times New Roman" w:hAnsi="Arial" w:cs="Arial"/>
          <w:sz w:val="24"/>
          <w:szCs w:val="24"/>
        </w:rPr>
      </w:pPr>
      <w:r w:rsidRPr="000F7A01">
        <w:rPr>
          <w:rFonts w:ascii="Arial" w:eastAsia="Times New Roman" w:hAnsi="Arial" w:cs="Arial"/>
          <w:sz w:val="24"/>
          <w:szCs w:val="24"/>
        </w:rPr>
        <w:lastRenderedPageBreak/>
        <w:t xml:space="preserve">We </w:t>
      </w:r>
      <w:r w:rsidR="00EF76B4" w:rsidRPr="000F7A01">
        <w:rPr>
          <w:rFonts w:ascii="Arial" w:eastAsia="Times New Roman" w:hAnsi="Arial" w:cs="Arial"/>
          <w:sz w:val="24"/>
          <w:szCs w:val="24"/>
        </w:rPr>
        <w:t>continue to advocate</w:t>
      </w:r>
      <w:r w:rsidRPr="000F7A01">
        <w:rPr>
          <w:rFonts w:ascii="Arial" w:eastAsia="Times New Roman" w:hAnsi="Arial" w:cs="Arial"/>
          <w:sz w:val="24"/>
          <w:szCs w:val="24"/>
        </w:rPr>
        <w:t xml:space="preserve"> for the rules governing short-term, small dollar lending to be tailored to address predatory </w:t>
      </w:r>
      <w:r w:rsidR="007B5A1F" w:rsidRPr="000F7A01">
        <w:rPr>
          <w:rFonts w:ascii="Arial" w:eastAsia="Times New Roman" w:hAnsi="Arial" w:cs="Arial"/>
          <w:sz w:val="24"/>
          <w:szCs w:val="24"/>
        </w:rPr>
        <w:t xml:space="preserve">lending </w:t>
      </w:r>
      <w:r w:rsidRPr="000F7A01">
        <w:rPr>
          <w:rFonts w:ascii="Arial" w:eastAsia="Times New Roman" w:hAnsi="Arial" w:cs="Arial"/>
          <w:sz w:val="24"/>
          <w:szCs w:val="24"/>
        </w:rPr>
        <w:t xml:space="preserve">practices while not inhibiting credit unions from offering affordable small dollar products to members in need. </w:t>
      </w:r>
    </w:p>
    <w:p w14:paraId="109BC155" w14:textId="77777777" w:rsidR="006A637B" w:rsidRPr="000F7A01" w:rsidRDefault="006A637B" w:rsidP="006A637B">
      <w:pPr>
        <w:pStyle w:val="ListParagraph"/>
        <w:spacing w:line="240" w:lineRule="auto"/>
        <w:textAlignment w:val="baseline"/>
        <w:rPr>
          <w:rFonts w:ascii="Arial" w:eastAsia="Times New Roman" w:hAnsi="Arial" w:cs="Arial"/>
          <w:sz w:val="24"/>
          <w:szCs w:val="24"/>
        </w:rPr>
      </w:pPr>
    </w:p>
    <w:p w14:paraId="42549333" w14:textId="77777777" w:rsidR="006A637B" w:rsidRPr="000F7A01" w:rsidRDefault="006A637B" w:rsidP="006A637B">
      <w:pPr>
        <w:pStyle w:val="ListParagraph"/>
        <w:numPr>
          <w:ilvl w:val="0"/>
          <w:numId w:val="19"/>
        </w:numPr>
        <w:spacing w:line="240" w:lineRule="auto"/>
        <w:textAlignment w:val="baseline"/>
        <w:rPr>
          <w:rFonts w:ascii="Arial" w:eastAsia="Times New Roman" w:hAnsi="Arial" w:cs="Arial"/>
          <w:sz w:val="24"/>
          <w:szCs w:val="24"/>
        </w:rPr>
      </w:pPr>
      <w:r w:rsidRPr="000F7A01">
        <w:rPr>
          <w:rFonts w:ascii="Arial" w:eastAsia="Times New Roman" w:hAnsi="Arial" w:cs="Arial"/>
          <w:sz w:val="24"/>
          <w:szCs w:val="24"/>
        </w:rPr>
        <w:t>We recommend the CFPB expand the Payday Rule’s partial carve-out for the Payday Alternative Loan I (PAL) program to also cover NCUA’s PAL II program.</w:t>
      </w:r>
    </w:p>
    <w:p w14:paraId="2DECFBCC" w14:textId="77777777" w:rsidR="006A637B" w:rsidRPr="000F7A01" w:rsidRDefault="006A637B" w:rsidP="00A077B4">
      <w:pPr>
        <w:ind w:firstLine="360"/>
        <w:contextualSpacing/>
        <w:rPr>
          <w:rFonts w:ascii="Arial" w:hAnsi="Arial" w:cs="Arial"/>
          <w:bCs/>
          <w:u w:val="single"/>
        </w:rPr>
      </w:pPr>
      <w:r w:rsidRPr="000F7A01">
        <w:rPr>
          <w:rFonts w:ascii="Arial" w:hAnsi="Arial" w:cs="Arial"/>
          <w:bCs/>
          <w:u w:val="single"/>
        </w:rPr>
        <w:t xml:space="preserve">Debt Collection </w:t>
      </w:r>
    </w:p>
    <w:p w14:paraId="77848631" w14:textId="77777777" w:rsidR="006A637B" w:rsidRPr="000F7A01" w:rsidRDefault="006A637B" w:rsidP="006A637B">
      <w:pPr>
        <w:contextualSpacing/>
        <w:rPr>
          <w:rFonts w:ascii="Arial" w:hAnsi="Arial" w:cs="Arial"/>
        </w:rPr>
      </w:pPr>
    </w:p>
    <w:p w14:paraId="321CF1C6" w14:textId="77777777" w:rsidR="006A637B" w:rsidRPr="000F7A01" w:rsidRDefault="006A637B" w:rsidP="006A637B">
      <w:pPr>
        <w:ind w:left="360"/>
        <w:rPr>
          <w:rFonts w:ascii="Arial" w:hAnsi="Arial" w:cs="Arial"/>
        </w:rPr>
      </w:pPr>
      <w:r w:rsidRPr="000F7A01">
        <w:rPr>
          <w:rFonts w:ascii="Arial" w:hAnsi="Arial" w:cs="Arial"/>
        </w:rPr>
        <w:t xml:space="preserve">The collection of debts from borrowers is critical to the safety and soundness of any lending institution. Credit unions, as financial cooperatives, collect debts from their member-owners and, in certain circumstances, retain third-party collectors for this purpose. Credit unions’ interest in a debt collection rulemaking, therefore, is two-fold: as first-party lenders that are not subject to the Fair Debt Collection Practices Act (FDCPA) and as institutions that may retain third-party lenders that are.  </w:t>
      </w:r>
    </w:p>
    <w:p w14:paraId="1B740908" w14:textId="77777777" w:rsidR="006A637B" w:rsidRPr="000F7A01" w:rsidRDefault="006A637B" w:rsidP="006A637B">
      <w:pPr>
        <w:pStyle w:val="ListParagraph"/>
        <w:spacing w:line="240" w:lineRule="auto"/>
        <w:rPr>
          <w:rFonts w:ascii="Arial" w:hAnsi="Arial" w:cs="Arial"/>
          <w:sz w:val="24"/>
          <w:szCs w:val="24"/>
        </w:rPr>
      </w:pPr>
    </w:p>
    <w:p w14:paraId="4D8B320D" w14:textId="6CE942DE" w:rsidR="006A637B" w:rsidRPr="000F7A01" w:rsidRDefault="006A637B" w:rsidP="006A637B">
      <w:pPr>
        <w:pStyle w:val="ListParagraph"/>
        <w:numPr>
          <w:ilvl w:val="0"/>
          <w:numId w:val="21"/>
        </w:numPr>
        <w:spacing w:line="240" w:lineRule="auto"/>
        <w:ind w:left="720"/>
        <w:rPr>
          <w:rFonts w:ascii="Arial" w:hAnsi="Arial" w:cs="Arial"/>
          <w:sz w:val="24"/>
          <w:szCs w:val="24"/>
        </w:rPr>
      </w:pPr>
      <w:r w:rsidRPr="000F7A01">
        <w:rPr>
          <w:rFonts w:ascii="Arial" w:hAnsi="Arial" w:cs="Arial"/>
          <w:sz w:val="24"/>
          <w:szCs w:val="24"/>
        </w:rPr>
        <w:t xml:space="preserve">Credit union strongly oppose any debt collection rulemaking that would result in the FDCPA, which specifically </w:t>
      </w:r>
      <w:r w:rsidR="007B5A1F" w:rsidRPr="000F7A01">
        <w:rPr>
          <w:rFonts w:ascii="Arial" w:hAnsi="Arial" w:cs="Arial"/>
          <w:sz w:val="24"/>
          <w:szCs w:val="24"/>
        </w:rPr>
        <w:t>focuses on</w:t>
      </w:r>
      <w:r w:rsidRPr="000F7A01">
        <w:rPr>
          <w:rFonts w:ascii="Arial" w:hAnsi="Arial" w:cs="Arial"/>
          <w:sz w:val="24"/>
          <w:szCs w:val="24"/>
        </w:rPr>
        <w:t xml:space="preserve"> third-party debt collectors, being extended to creditors and first-party collectors, either directly or indirectly. </w:t>
      </w:r>
    </w:p>
    <w:p w14:paraId="700BF4C3" w14:textId="77777777" w:rsidR="006A637B" w:rsidRPr="000F7A01" w:rsidRDefault="006A637B" w:rsidP="006A637B">
      <w:pPr>
        <w:pStyle w:val="ListParagraph"/>
        <w:spacing w:line="240" w:lineRule="auto"/>
        <w:rPr>
          <w:rFonts w:ascii="Arial" w:hAnsi="Arial" w:cs="Arial"/>
          <w:sz w:val="24"/>
          <w:szCs w:val="24"/>
        </w:rPr>
      </w:pPr>
    </w:p>
    <w:p w14:paraId="15B9C717" w14:textId="4BB73A0E" w:rsidR="006A637B" w:rsidRPr="000F7A01" w:rsidRDefault="006A637B" w:rsidP="006A637B">
      <w:pPr>
        <w:pStyle w:val="ListParagraph"/>
        <w:numPr>
          <w:ilvl w:val="0"/>
          <w:numId w:val="12"/>
        </w:numPr>
        <w:spacing w:line="240" w:lineRule="auto"/>
        <w:rPr>
          <w:rStyle w:val="eop"/>
          <w:rFonts w:ascii="Arial" w:hAnsi="Arial" w:cs="Arial"/>
          <w:sz w:val="24"/>
          <w:szCs w:val="24"/>
        </w:rPr>
      </w:pPr>
      <w:r w:rsidRPr="000F7A01">
        <w:rPr>
          <w:rFonts w:ascii="Arial" w:hAnsi="Arial" w:cs="Arial"/>
          <w:sz w:val="24"/>
          <w:szCs w:val="24"/>
        </w:rPr>
        <w:t>The Bureau should consider the broad impact of its debt collection rule on consumers and the operations of third-party collectors and seek to limit disruption to this critical function.</w:t>
      </w:r>
      <w:r w:rsidRPr="000F7A01">
        <w:rPr>
          <w:rStyle w:val="eop"/>
          <w:rFonts w:ascii="Arial" w:hAnsi="Arial" w:cs="Arial"/>
          <w:sz w:val="24"/>
          <w:szCs w:val="24"/>
        </w:rPr>
        <w:t> </w:t>
      </w:r>
    </w:p>
    <w:p w14:paraId="4F3B0B38" w14:textId="77777777" w:rsidR="007B5A1F" w:rsidRPr="000F7A01" w:rsidRDefault="007B5A1F" w:rsidP="007B5A1F">
      <w:pPr>
        <w:pStyle w:val="ListParagraph"/>
        <w:spacing w:line="240" w:lineRule="auto"/>
        <w:rPr>
          <w:rStyle w:val="eop"/>
          <w:rFonts w:ascii="Arial" w:hAnsi="Arial" w:cs="Arial"/>
          <w:sz w:val="24"/>
          <w:szCs w:val="24"/>
        </w:rPr>
      </w:pPr>
    </w:p>
    <w:p w14:paraId="131786B7" w14:textId="77777777" w:rsidR="006A637B" w:rsidRPr="000F7A01" w:rsidRDefault="006A637B" w:rsidP="006A637B">
      <w:pPr>
        <w:ind w:firstLine="360"/>
        <w:contextualSpacing/>
        <w:rPr>
          <w:rFonts w:ascii="Arial" w:hAnsi="Arial" w:cs="Arial"/>
          <w:bCs/>
          <w:u w:val="single"/>
        </w:rPr>
      </w:pPr>
      <w:r w:rsidRPr="000F7A01">
        <w:rPr>
          <w:rFonts w:ascii="Arial" w:hAnsi="Arial" w:cs="Arial"/>
          <w:bCs/>
          <w:u w:val="single"/>
        </w:rPr>
        <w:t>Remittances</w:t>
      </w:r>
    </w:p>
    <w:p w14:paraId="0897C74B" w14:textId="77777777" w:rsidR="006A637B" w:rsidRPr="000F7A01" w:rsidRDefault="006A637B" w:rsidP="006A637B">
      <w:pPr>
        <w:contextualSpacing/>
        <w:rPr>
          <w:rFonts w:ascii="Arial" w:hAnsi="Arial" w:cs="Arial"/>
        </w:rPr>
      </w:pPr>
    </w:p>
    <w:p w14:paraId="41C52D30" w14:textId="07655A2F" w:rsidR="006A637B" w:rsidRPr="000F7A01" w:rsidRDefault="006A637B" w:rsidP="006A637B">
      <w:pPr>
        <w:pStyle w:val="paragraph"/>
        <w:spacing w:before="0" w:beforeAutospacing="0" w:after="0" w:afterAutospacing="0"/>
        <w:ind w:left="360"/>
        <w:contextualSpacing/>
        <w:textAlignment w:val="baseline"/>
        <w:rPr>
          <w:rStyle w:val="normaltextrun"/>
          <w:rFonts w:ascii="Arial" w:hAnsi="Arial" w:cs="Arial"/>
        </w:rPr>
      </w:pPr>
      <w:r w:rsidRPr="000F7A01">
        <w:rPr>
          <w:rStyle w:val="normaltextrun"/>
          <w:rFonts w:ascii="Arial" w:hAnsi="Arial" w:cs="Arial"/>
        </w:rPr>
        <w:t xml:space="preserve">We support appropriate safeguards for consumers initiating remittance transfers, including clear and understandable disclosures. The Bureau’s increase of the rule’s “normal course of business” threshold to 500 transfers provided significant regulatory relief to several hundred credit unions. However, </w:t>
      </w:r>
      <w:r w:rsidR="007B5A1F" w:rsidRPr="000F7A01">
        <w:rPr>
          <w:rStyle w:val="normaltextrun"/>
          <w:rFonts w:ascii="Arial" w:hAnsi="Arial" w:cs="Arial"/>
        </w:rPr>
        <w:t xml:space="preserve">the </w:t>
      </w:r>
      <w:r w:rsidRPr="000F7A01">
        <w:rPr>
          <w:rStyle w:val="normaltextrun"/>
          <w:rFonts w:ascii="Arial" w:hAnsi="Arial" w:cs="Arial"/>
        </w:rPr>
        <w:t xml:space="preserve">threshold increase should be considered merely the first step toward restoring the market after providers left due to the high cost of compliance with the Remittance Rule. </w:t>
      </w:r>
    </w:p>
    <w:p w14:paraId="446352F8" w14:textId="77777777" w:rsidR="006A637B" w:rsidRPr="000F7A01" w:rsidRDefault="006A637B" w:rsidP="006A637B">
      <w:pPr>
        <w:pStyle w:val="paragraph"/>
        <w:spacing w:before="0" w:beforeAutospacing="0" w:after="0" w:afterAutospacing="0"/>
        <w:ind w:left="360"/>
        <w:contextualSpacing/>
        <w:textAlignment w:val="baseline"/>
        <w:rPr>
          <w:rStyle w:val="normaltextrun"/>
          <w:rFonts w:ascii="Arial" w:hAnsi="Arial" w:cs="Arial"/>
        </w:rPr>
      </w:pPr>
    </w:p>
    <w:p w14:paraId="3172C757" w14:textId="77777777" w:rsidR="006A637B" w:rsidRPr="000F7A01" w:rsidRDefault="006A637B" w:rsidP="006A637B">
      <w:pPr>
        <w:pStyle w:val="paragraph"/>
        <w:spacing w:before="0" w:beforeAutospacing="0" w:after="0" w:afterAutospacing="0"/>
        <w:ind w:left="360"/>
        <w:contextualSpacing/>
        <w:textAlignment w:val="baseline"/>
        <w:rPr>
          <w:rStyle w:val="normaltextrun"/>
          <w:rFonts w:ascii="Arial" w:hAnsi="Arial" w:cs="Arial"/>
        </w:rPr>
      </w:pPr>
      <w:r w:rsidRPr="000F7A01">
        <w:rPr>
          <w:rStyle w:val="normaltextrun"/>
          <w:rFonts w:ascii="Arial" w:hAnsi="Arial" w:cs="Arial"/>
        </w:rPr>
        <w:t>We recommend the CFPB consider additional substantive amendments to the Remittance Rule. Specifically, the Bureau should:</w:t>
      </w:r>
    </w:p>
    <w:p w14:paraId="1B5626E1" w14:textId="77777777" w:rsidR="006A637B" w:rsidRPr="000F7A01" w:rsidRDefault="006A637B" w:rsidP="006A637B">
      <w:pPr>
        <w:pStyle w:val="paragraph"/>
        <w:spacing w:before="0" w:beforeAutospacing="0" w:after="0" w:afterAutospacing="0"/>
        <w:ind w:left="360"/>
        <w:contextualSpacing/>
        <w:textAlignment w:val="baseline"/>
        <w:rPr>
          <w:rStyle w:val="normaltextrun"/>
          <w:rFonts w:ascii="Arial" w:hAnsi="Arial" w:cs="Arial"/>
        </w:rPr>
      </w:pPr>
    </w:p>
    <w:p w14:paraId="531E4A26" w14:textId="77777777" w:rsidR="006A637B" w:rsidRPr="000F7A01" w:rsidRDefault="006A637B" w:rsidP="006A637B">
      <w:pPr>
        <w:pStyle w:val="paragraph"/>
        <w:numPr>
          <w:ilvl w:val="0"/>
          <w:numId w:val="16"/>
        </w:numPr>
        <w:spacing w:before="0" w:beforeAutospacing="0" w:after="0" w:afterAutospacing="0"/>
        <w:contextualSpacing/>
        <w:textAlignment w:val="baseline"/>
        <w:rPr>
          <w:rStyle w:val="normaltextrun"/>
          <w:rFonts w:ascii="Arial" w:hAnsi="Arial" w:cs="Arial"/>
        </w:rPr>
      </w:pPr>
      <w:r w:rsidRPr="000F7A01">
        <w:rPr>
          <w:rStyle w:val="normaltextrun"/>
          <w:rFonts w:ascii="Arial" w:hAnsi="Arial" w:cs="Arial"/>
        </w:rPr>
        <w:t>Preserve the 500 transfer “normal course of business” safe harbor threshold and consider increasing the threshold to 1,000 remittance transfers; and</w:t>
      </w:r>
    </w:p>
    <w:p w14:paraId="4C0F676D" w14:textId="77777777" w:rsidR="006A637B" w:rsidRPr="000F7A01" w:rsidRDefault="006A637B" w:rsidP="006A637B">
      <w:pPr>
        <w:pStyle w:val="paragraph"/>
        <w:spacing w:before="0" w:beforeAutospacing="0" w:after="0" w:afterAutospacing="0"/>
        <w:ind w:left="720"/>
        <w:contextualSpacing/>
        <w:textAlignment w:val="baseline"/>
        <w:rPr>
          <w:rFonts w:ascii="Arial" w:hAnsi="Arial" w:cs="Arial"/>
        </w:rPr>
      </w:pPr>
      <w:r w:rsidRPr="000F7A01">
        <w:rPr>
          <w:rStyle w:val="eop"/>
          <w:rFonts w:ascii="Arial" w:hAnsi="Arial" w:cs="Arial"/>
        </w:rPr>
        <w:t> </w:t>
      </w:r>
    </w:p>
    <w:p w14:paraId="746862CA" w14:textId="255BE6FB" w:rsidR="00DD0539" w:rsidRPr="000F7A01" w:rsidRDefault="006A637B" w:rsidP="0016776D">
      <w:pPr>
        <w:pStyle w:val="paragraph"/>
        <w:numPr>
          <w:ilvl w:val="0"/>
          <w:numId w:val="16"/>
        </w:numPr>
        <w:spacing w:before="0" w:beforeAutospacing="0" w:after="0" w:afterAutospacing="0"/>
        <w:contextualSpacing/>
        <w:textAlignment w:val="baseline"/>
        <w:rPr>
          <w:rFonts w:ascii="Arial" w:hAnsi="Arial" w:cs="Arial"/>
        </w:rPr>
      </w:pPr>
      <w:r w:rsidRPr="000F7A01">
        <w:rPr>
          <w:rStyle w:val="normaltextrun"/>
          <w:rFonts w:ascii="Arial" w:hAnsi="Arial" w:cs="Arial"/>
        </w:rPr>
        <w:t>Eliminate the 30-minute cancellation requirement or provide consumers the ability to opt-out of the mandated waiting period.</w:t>
      </w:r>
      <w:r w:rsidRPr="000F7A01">
        <w:rPr>
          <w:rStyle w:val="eop"/>
          <w:rFonts w:ascii="Arial" w:hAnsi="Arial" w:cs="Arial"/>
        </w:rPr>
        <w:t> </w:t>
      </w:r>
    </w:p>
    <w:p w14:paraId="7A2ED1D2" w14:textId="77777777" w:rsidR="00DD0539" w:rsidRPr="000F7A01" w:rsidRDefault="00DD0539" w:rsidP="006A637B">
      <w:pPr>
        <w:pStyle w:val="ListParagraph"/>
        <w:spacing w:line="240" w:lineRule="auto"/>
        <w:ind w:left="360"/>
        <w:rPr>
          <w:rFonts w:ascii="Arial" w:hAnsi="Arial" w:cs="Arial"/>
          <w:sz w:val="24"/>
          <w:szCs w:val="24"/>
        </w:rPr>
      </w:pPr>
    </w:p>
    <w:p w14:paraId="45B8B17F" w14:textId="77777777" w:rsidR="006A637B" w:rsidRPr="000F7A01" w:rsidRDefault="006A637B" w:rsidP="006A637B">
      <w:pPr>
        <w:ind w:firstLine="360"/>
        <w:contextualSpacing/>
        <w:rPr>
          <w:rFonts w:ascii="Arial" w:hAnsi="Arial" w:cs="Arial"/>
          <w:bCs/>
          <w:u w:val="single"/>
        </w:rPr>
      </w:pPr>
      <w:r w:rsidRPr="000F7A01">
        <w:rPr>
          <w:rFonts w:ascii="Arial" w:hAnsi="Arial" w:cs="Arial"/>
          <w:bCs/>
          <w:u w:val="single"/>
        </w:rPr>
        <w:t>Financial Education Initiatives</w:t>
      </w:r>
    </w:p>
    <w:p w14:paraId="597E21F0" w14:textId="77777777" w:rsidR="006A637B" w:rsidRPr="000F7A01" w:rsidRDefault="006A637B" w:rsidP="006A637B">
      <w:pPr>
        <w:rPr>
          <w:rFonts w:ascii="Arial" w:hAnsi="Arial" w:cs="Arial"/>
        </w:rPr>
      </w:pPr>
    </w:p>
    <w:p w14:paraId="18059A0F" w14:textId="2E8D1A0F" w:rsidR="00A05418" w:rsidRPr="00650E9D" w:rsidRDefault="006A637B" w:rsidP="001A29B5">
      <w:pPr>
        <w:pStyle w:val="ListParagraph"/>
        <w:numPr>
          <w:ilvl w:val="0"/>
          <w:numId w:val="11"/>
        </w:numPr>
        <w:spacing w:line="240" w:lineRule="auto"/>
        <w:rPr>
          <w:rFonts w:ascii="Arial" w:hAnsi="Arial" w:cs="Arial"/>
        </w:rPr>
      </w:pPr>
      <w:r w:rsidRPr="00650E9D">
        <w:rPr>
          <w:rFonts w:ascii="Arial" w:hAnsi="Arial" w:cs="Arial"/>
          <w:sz w:val="24"/>
          <w:szCs w:val="24"/>
        </w:rPr>
        <w:t>The Bureau should utilize financial education efforts to guide consumer behavior. This approach, rather than rulemaking to guide consumer choices, provides the foundation for sustainable financial health.</w:t>
      </w:r>
    </w:p>
    <w:sectPr w:rsidR="00A05418" w:rsidRPr="00650E9D" w:rsidSect="001A549E">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E5CDE" w14:textId="77777777" w:rsidR="00CB6412" w:rsidRDefault="00CB6412" w:rsidP="002A0296">
      <w:r>
        <w:separator/>
      </w:r>
    </w:p>
  </w:endnote>
  <w:endnote w:type="continuationSeparator" w:id="0">
    <w:p w14:paraId="76773C03" w14:textId="77777777" w:rsidR="00CB6412" w:rsidRDefault="00CB6412" w:rsidP="002A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469392"/>
      <w:docPartObj>
        <w:docPartGallery w:val="Page Numbers (Bottom of Page)"/>
        <w:docPartUnique/>
      </w:docPartObj>
    </w:sdtPr>
    <w:sdtEndPr>
      <w:rPr>
        <w:noProof/>
      </w:rPr>
    </w:sdtEndPr>
    <w:sdtContent>
      <w:p w14:paraId="49B6FACC" w14:textId="3E9F588B" w:rsidR="00622C5F" w:rsidRDefault="00622C5F">
        <w:pPr>
          <w:pStyle w:val="Footer"/>
          <w:jc w:val="center"/>
        </w:pPr>
        <w:r>
          <w:fldChar w:fldCharType="begin"/>
        </w:r>
        <w:r>
          <w:instrText xml:space="preserve"> PAGE   \* MERGEFORMAT </w:instrText>
        </w:r>
        <w:r>
          <w:fldChar w:fldCharType="separate"/>
        </w:r>
        <w:r w:rsidR="001F2B05">
          <w:rPr>
            <w:noProof/>
          </w:rPr>
          <w:t>1</w:t>
        </w:r>
        <w:r>
          <w:rPr>
            <w:noProof/>
          </w:rPr>
          <w:fldChar w:fldCharType="end"/>
        </w:r>
      </w:p>
    </w:sdtContent>
  </w:sdt>
  <w:p w14:paraId="0BC03A95" w14:textId="77777777" w:rsidR="00622C5F" w:rsidRDefault="0062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5E35" w14:textId="77777777" w:rsidR="00CB6412" w:rsidRDefault="00CB6412" w:rsidP="002A0296">
      <w:r>
        <w:separator/>
      </w:r>
    </w:p>
  </w:footnote>
  <w:footnote w:type="continuationSeparator" w:id="0">
    <w:p w14:paraId="0E50DB76" w14:textId="77777777" w:rsidR="00CB6412" w:rsidRDefault="00CB6412" w:rsidP="002A0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F60"/>
    <w:multiLevelType w:val="hybridMultilevel"/>
    <w:tmpl w:val="94B4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A41DE"/>
    <w:multiLevelType w:val="hybridMultilevel"/>
    <w:tmpl w:val="FD1CD7B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1E99"/>
    <w:multiLevelType w:val="hybridMultilevel"/>
    <w:tmpl w:val="1F2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87337"/>
    <w:multiLevelType w:val="hybridMultilevel"/>
    <w:tmpl w:val="BB0E9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CF401E"/>
    <w:multiLevelType w:val="hybridMultilevel"/>
    <w:tmpl w:val="0376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D3FE0"/>
    <w:multiLevelType w:val="hybridMultilevel"/>
    <w:tmpl w:val="71A2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3D1456A"/>
    <w:multiLevelType w:val="hybridMultilevel"/>
    <w:tmpl w:val="9E6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C01BC8"/>
    <w:multiLevelType w:val="hybridMultilevel"/>
    <w:tmpl w:val="72548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E84"/>
    <w:multiLevelType w:val="hybridMultilevel"/>
    <w:tmpl w:val="AD2E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951DE"/>
    <w:multiLevelType w:val="hybridMultilevel"/>
    <w:tmpl w:val="6B98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45826"/>
    <w:multiLevelType w:val="hybridMultilevel"/>
    <w:tmpl w:val="FC54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E01ED"/>
    <w:multiLevelType w:val="hybridMultilevel"/>
    <w:tmpl w:val="DD80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024DF"/>
    <w:multiLevelType w:val="hybridMultilevel"/>
    <w:tmpl w:val="825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D217F"/>
    <w:multiLevelType w:val="hybridMultilevel"/>
    <w:tmpl w:val="BDF2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851EE"/>
    <w:multiLevelType w:val="hybridMultilevel"/>
    <w:tmpl w:val="DE3E8D42"/>
    <w:lvl w:ilvl="0" w:tplc="3134E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277F0"/>
    <w:multiLevelType w:val="hybridMultilevel"/>
    <w:tmpl w:val="E77E5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06110"/>
    <w:multiLevelType w:val="hybridMultilevel"/>
    <w:tmpl w:val="E8E6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F21E9"/>
    <w:multiLevelType w:val="hybridMultilevel"/>
    <w:tmpl w:val="241E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224AE"/>
    <w:multiLevelType w:val="hybridMultilevel"/>
    <w:tmpl w:val="D1F6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E472C"/>
    <w:multiLevelType w:val="hybridMultilevel"/>
    <w:tmpl w:val="5D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96229"/>
    <w:multiLevelType w:val="hybridMultilevel"/>
    <w:tmpl w:val="01AC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E136BE"/>
    <w:multiLevelType w:val="hybridMultilevel"/>
    <w:tmpl w:val="FC5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36577"/>
    <w:multiLevelType w:val="hybridMultilevel"/>
    <w:tmpl w:val="910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96CD5"/>
    <w:multiLevelType w:val="multilevel"/>
    <w:tmpl w:val="8D30D604"/>
    <w:lvl w:ilvl="0">
      <w:start w:val="1"/>
      <w:numFmt w:val="upperRoman"/>
      <w:pStyle w:val="Heading1"/>
      <w:lvlText w:val="%1."/>
      <w:lvlJc w:val="left"/>
      <w:pPr>
        <w:ind w:left="0" w:firstLine="0"/>
      </w:pPr>
      <w:rPr>
        <w:i w:val="0"/>
      </w:rPr>
    </w:lvl>
    <w:lvl w:ilvl="1">
      <w:start w:val="1"/>
      <w:numFmt w:val="upperLetter"/>
      <w:pStyle w:val="Heading2"/>
      <w:lvlText w:val="%2."/>
      <w:lvlJc w:val="left"/>
      <w:pPr>
        <w:ind w:left="5490" w:firstLine="0"/>
      </w:pPr>
      <w:rPr>
        <w:i/>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66D71475"/>
    <w:multiLevelType w:val="hybridMultilevel"/>
    <w:tmpl w:val="AA4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E31E4"/>
    <w:multiLevelType w:val="hybridMultilevel"/>
    <w:tmpl w:val="5560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442BD"/>
    <w:multiLevelType w:val="hybridMultilevel"/>
    <w:tmpl w:val="071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A014A"/>
    <w:multiLevelType w:val="hybridMultilevel"/>
    <w:tmpl w:val="588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B561A"/>
    <w:multiLevelType w:val="hybridMultilevel"/>
    <w:tmpl w:val="B254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7"/>
  </w:num>
  <w:num w:numId="4">
    <w:abstractNumId w:val="13"/>
  </w:num>
  <w:num w:numId="5">
    <w:abstractNumId w:val="14"/>
  </w:num>
  <w:num w:numId="6">
    <w:abstractNumId w:val="3"/>
  </w:num>
  <w:num w:numId="7">
    <w:abstractNumId w:val="7"/>
  </w:num>
  <w:num w:numId="8">
    <w:abstractNumId w:val="27"/>
  </w:num>
  <w:num w:numId="9">
    <w:abstractNumId w:val="24"/>
  </w:num>
  <w:num w:numId="10">
    <w:abstractNumId w:val="11"/>
  </w:num>
  <w:num w:numId="11">
    <w:abstractNumId w:val="9"/>
  </w:num>
  <w:num w:numId="12">
    <w:abstractNumId w:val="26"/>
  </w:num>
  <w:num w:numId="13">
    <w:abstractNumId w:val="22"/>
  </w:num>
  <w:num w:numId="14">
    <w:abstractNumId w:val="10"/>
  </w:num>
  <w:num w:numId="15">
    <w:abstractNumId w:val="25"/>
  </w:num>
  <w:num w:numId="16">
    <w:abstractNumId w:val="2"/>
  </w:num>
  <w:num w:numId="17">
    <w:abstractNumId w:val="18"/>
  </w:num>
  <w:num w:numId="18">
    <w:abstractNumId w:val="8"/>
  </w:num>
  <w:num w:numId="19">
    <w:abstractNumId w:val="4"/>
  </w:num>
  <w:num w:numId="20">
    <w:abstractNumId w:val="20"/>
  </w:num>
  <w:num w:numId="21">
    <w:abstractNumId w:val="0"/>
  </w:num>
  <w:num w:numId="22">
    <w:abstractNumId w:val="21"/>
  </w:num>
  <w:num w:numId="23">
    <w:abstractNumId w:val="28"/>
  </w:num>
  <w:num w:numId="24">
    <w:abstractNumId w:val="15"/>
  </w:num>
  <w:num w:numId="25">
    <w:abstractNumId w:val="19"/>
  </w:num>
  <w:num w:numId="26">
    <w:abstractNumId w:val="16"/>
  </w:num>
  <w:num w:numId="27">
    <w:abstractNumId w:val="5"/>
  </w:num>
  <w:num w:numId="28">
    <w:abstractNumId w:val="24"/>
  </w:num>
  <w:num w:numId="29">
    <w:abstractNumId w:val="12"/>
  </w:num>
  <w:num w:numId="3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96"/>
    <w:rsid w:val="00010D81"/>
    <w:rsid w:val="00017D31"/>
    <w:rsid w:val="00025C94"/>
    <w:rsid w:val="00030F92"/>
    <w:rsid w:val="00031D31"/>
    <w:rsid w:val="000375A1"/>
    <w:rsid w:val="000442A3"/>
    <w:rsid w:val="00054F3E"/>
    <w:rsid w:val="000835BC"/>
    <w:rsid w:val="00091E64"/>
    <w:rsid w:val="00095F77"/>
    <w:rsid w:val="000A645F"/>
    <w:rsid w:val="000C6AAA"/>
    <w:rsid w:val="000D4EF1"/>
    <w:rsid w:val="000F7A01"/>
    <w:rsid w:val="00100C45"/>
    <w:rsid w:val="001118F9"/>
    <w:rsid w:val="00121C67"/>
    <w:rsid w:val="00123510"/>
    <w:rsid w:val="00150B65"/>
    <w:rsid w:val="001647C4"/>
    <w:rsid w:val="0016776D"/>
    <w:rsid w:val="00184B25"/>
    <w:rsid w:val="001947D3"/>
    <w:rsid w:val="001A549E"/>
    <w:rsid w:val="001C73B9"/>
    <w:rsid w:val="001D4D23"/>
    <w:rsid w:val="001E48A6"/>
    <w:rsid w:val="001F0902"/>
    <w:rsid w:val="001F1DE9"/>
    <w:rsid w:val="001F2B05"/>
    <w:rsid w:val="001F529E"/>
    <w:rsid w:val="002071B9"/>
    <w:rsid w:val="0021005F"/>
    <w:rsid w:val="0021385D"/>
    <w:rsid w:val="00214B7D"/>
    <w:rsid w:val="002251C4"/>
    <w:rsid w:val="00233968"/>
    <w:rsid w:val="00240A93"/>
    <w:rsid w:val="00243160"/>
    <w:rsid w:val="00244F89"/>
    <w:rsid w:val="002477E5"/>
    <w:rsid w:val="00265D92"/>
    <w:rsid w:val="00284F0B"/>
    <w:rsid w:val="00287E93"/>
    <w:rsid w:val="00295C06"/>
    <w:rsid w:val="002A0296"/>
    <w:rsid w:val="002A1194"/>
    <w:rsid w:val="002A34B8"/>
    <w:rsid w:val="002A5FC9"/>
    <w:rsid w:val="002B1B08"/>
    <w:rsid w:val="002B4917"/>
    <w:rsid w:val="002B64A6"/>
    <w:rsid w:val="002C5F44"/>
    <w:rsid w:val="002D404B"/>
    <w:rsid w:val="00301D9E"/>
    <w:rsid w:val="003053D4"/>
    <w:rsid w:val="0030738A"/>
    <w:rsid w:val="00334F35"/>
    <w:rsid w:val="00335C13"/>
    <w:rsid w:val="00354686"/>
    <w:rsid w:val="00365A6B"/>
    <w:rsid w:val="00366D82"/>
    <w:rsid w:val="00373ABE"/>
    <w:rsid w:val="00373B0E"/>
    <w:rsid w:val="00377BB8"/>
    <w:rsid w:val="00386A99"/>
    <w:rsid w:val="00393B7A"/>
    <w:rsid w:val="003971B1"/>
    <w:rsid w:val="00397C5D"/>
    <w:rsid w:val="00397E1D"/>
    <w:rsid w:val="003A15F4"/>
    <w:rsid w:val="003B4058"/>
    <w:rsid w:val="003C4801"/>
    <w:rsid w:val="003D2683"/>
    <w:rsid w:val="003D4E2C"/>
    <w:rsid w:val="003F53A8"/>
    <w:rsid w:val="0040186B"/>
    <w:rsid w:val="004066B2"/>
    <w:rsid w:val="00406FAD"/>
    <w:rsid w:val="004164C1"/>
    <w:rsid w:val="00423189"/>
    <w:rsid w:val="004243FE"/>
    <w:rsid w:val="00431115"/>
    <w:rsid w:val="00436905"/>
    <w:rsid w:val="0043710E"/>
    <w:rsid w:val="00437693"/>
    <w:rsid w:val="00441D27"/>
    <w:rsid w:val="00446D20"/>
    <w:rsid w:val="00461C6C"/>
    <w:rsid w:val="00461CFE"/>
    <w:rsid w:val="00462D5E"/>
    <w:rsid w:val="00481B8D"/>
    <w:rsid w:val="004823CF"/>
    <w:rsid w:val="004831F1"/>
    <w:rsid w:val="00485613"/>
    <w:rsid w:val="00495397"/>
    <w:rsid w:val="004A58FC"/>
    <w:rsid w:val="004B5020"/>
    <w:rsid w:val="004B66A5"/>
    <w:rsid w:val="004D5B61"/>
    <w:rsid w:val="004E0182"/>
    <w:rsid w:val="004E25F1"/>
    <w:rsid w:val="004E376B"/>
    <w:rsid w:val="004E5301"/>
    <w:rsid w:val="004F0203"/>
    <w:rsid w:val="004F33F2"/>
    <w:rsid w:val="004F55A9"/>
    <w:rsid w:val="005166D3"/>
    <w:rsid w:val="00536AF2"/>
    <w:rsid w:val="0054388F"/>
    <w:rsid w:val="00551109"/>
    <w:rsid w:val="00560F56"/>
    <w:rsid w:val="00567D70"/>
    <w:rsid w:val="00587507"/>
    <w:rsid w:val="005902F4"/>
    <w:rsid w:val="0059134B"/>
    <w:rsid w:val="005B0454"/>
    <w:rsid w:val="005D17E0"/>
    <w:rsid w:val="005F1F9D"/>
    <w:rsid w:val="005F54C6"/>
    <w:rsid w:val="005F5A25"/>
    <w:rsid w:val="0060078D"/>
    <w:rsid w:val="00601FD3"/>
    <w:rsid w:val="00603ED3"/>
    <w:rsid w:val="00615D64"/>
    <w:rsid w:val="00622C5F"/>
    <w:rsid w:val="006323E0"/>
    <w:rsid w:val="00633663"/>
    <w:rsid w:val="00650E9D"/>
    <w:rsid w:val="006A60F0"/>
    <w:rsid w:val="006A637B"/>
    <w:rsid w:val="006B1AD1"/>
    <w:rsid w:val="006B47A2"/>
    <w:rsid w:val="006B7910"/>
    <w:rsid w:val="006C781A"/>
    <w:rsid w:val="006C7ED0"/>
    <w:rsid w:val="006D4CD9"/>
    <w:rsid w:val="006E2FBA"/>
    <w:rsid w:val="006E606A"/>
    <w:rsid w:val="0071790D"/>
    <w:rsid w:val="00735565"/>
    <w:rsid w:val="00737ACA"/>
    <w:rsid w:val="00741DB0"/>
    <w:rsid w:val="007515A6"/>
    <w:rsid w:val="00751780"/>
    <w:rsid w:val="00772504"/>
    <w:rsid w:val="00776821"/>
    <w:rsid w:val="00777739"/>
    <w:rsid w:val="00791E71"/>
    <w:rsid w:val="007A1360"/>
    <w:rsid w:val="007A6AF2"/>
    <w:rsid w:val="007B5A1F"/>
    <w:rsid w:val="007B5ED0"/>
    <w:rsid w:val="007C1DAD"/>
    <w:rsid w:val="007C25A4"/>
    <w:rsid w:val="007D2413"/>
    <w:rsid w:val="007E3E62"/>
    <w:rsid w:val="007E4F57"/>
    <w:rsid w:val="007F5449"/>
    <w:rsid w:val="00801750"/>
    <w:rsid w:val="00803666"/>
    <w:rsid w:val="00815B42"/>
    <w:rsid w:val="00821EF9"/>
    <w:rsid w:val="00823EDB"/>
    <w:rsid w:val="0083049B"/>
    <w:rsid w:val="008440CE"/>
    <w:rsid w:val="008541B9"/>
    <w:rsid w:val="0086697B"/>
    <w:rsid w:val="00873816"/>
    <w:rsid w:val="00873CA1"/>
    <w:rsid w:val="00877996"/>
    <w:rsid w:val="0088054F"/>
    <w:rsid w:val="0088252D"/>
    <w:rsid w:val="00887D3B"/>
    <w:rsid w:val="00891B29"/>
    <w:rsid w:val="008B45A6"/>
    <w:rsid w:val="008B6544"/>
    <w:rsid w:val="008D04B7"/>
    <w:rsid w:val="008D4A1D"/>
    <w:rsid w:val="008D6A1E"/>
    <w:rsid w:val="008E228C"/>
    <w:rsid w:val="008E44DE"/>
    <w:rsid w:val="008E6E94"/>
    <w:rsid w:val="00900547"/>
    <w:rsid w:val="009011CD"/>
    <w:rsid w:val="009021D4"/>
    <w:rsid w:val="00904E96"/>
    <w:rsid w:val="00906776"/>
    <w:rsid w:val="00915373"/>
    <w:rsid w:val="00924FAC"/>
    <w:rsid w:val="009302C1"/>
    <w:rsid w:val="00931AAC"/>
    <w:rsid w:val="009364A8"/>
    <w:rsid w:val="00950CF9"/>
    <w:rsid w:val="00970778"/>
    <w:rsid w:val="009709B3"/>
    <w:rsid w:val="00970DF5"/>
    <w:rsid w:val="00974CB3"/>
    <w:rsid w:val="0099083E"/>
    <w:rsid w:val="009911D0"/>
    <w:rsid w:val="00991BC8"/>
    <w:rsid w:val="009A3329"/>
    <w:rsid w:val="009A4556"/>
    <w:rsid w:val="009C64AE"/>
    <w:rsid w:val="009C7A7F"/>
    <w:rsid w:val="009D37F5"/>
    <w:rsid w:val="009E34B9"/>
    <w:rsid w:val="009F0622"/>
    <w:rsid w:val="009F484D"/>
    <w:rsid w:val="009F53B8"/>
    <w:rsid w:val="00A0115D"/>
    <w:rsid w:val="00A035EF"/>
    <w:rsid w:val="00A03E37"/>
    <w:rsid w:val="00A05418"/>
    <w:rsid w:val="00A077B4"/>
    <w:rsid w:val="00A21A91"/>
    <w:rsid w:val="00A23697"/>
    <w:rsid w:val="00A27148"/>
    <w:rsid w:val="00A47E68"/>
    <w:rsid w:val="00A535AF"/>
    <w:rsid w:val="00A53D5A"/>
    <w:rsid w:val="00A5405B"/>
    <w:rsid w:val="00A5405C"/>
    <w:rsid w:val="00A639FF"/>
    <w:rsid w:val="00A7319E"/>
    <w:rsid w:val="00A75128"/>
    <w:rsid w:val="00A75FDD"/>
    <w:rsid w:val="00A775CF"/>
    <w:rsid w:val="00AA3B86"/>
    <w:rsid w:val="00AB4BA4"/>
    <w:rsid w:val="00AB5FA2"/>
    <w:rsid w:val="00AC03BC"/>
    <w:rsid w:val="00AC7153"/>
    <w:rsid w:val="00AF00B6"/>
    <w:rsid w:val="00AF03CE"/>
    <w:rsid w:val="00AF2BB3"/>
    <w:rsid w:val="00B048AD"/>
    <w:rsid w:val="00B164F6"/>
    <w:rsid w:val="00B220DA"/>
    <w:rsid w:val="00B26311"/>
    <w:rsid w:val="00B269ED"/>
    <w:rsid w:val="00B310ED"/>
    <w:rsid w:val="00B42672"/>
    <w:rsid w:val="00B5067E"/>
    <w:rsid w:val="00B5653B"/>
    <w:rsid w:val="00B82575"/>
    <w:rsid w:val="00B8341C"/>
    <w:rsid w:val="00BB3A63"/>
    <w:rsid w:val="00BB4D61"/>
    <w:rsid w:val="00BC1BF7"/>
    <w:rsid w:val="00BE2562"/>
    <w:rsid w:val="00BF31DE"/>
    <w:rsid w:val="00C1072B"/>
    <w:rsid w:val="00C2137E"/>
    <w:rsid w:val="00C46F04"/>
    <w:rsid w:val="00C47977"/>
    <w:rsid w:val="00C63084"/>
    <w:rsid w:val="00C63A39"/>
    <w:rsid w:val="00C67316"/>
    <w:rsid w:val="00C76CF2"/>
    <w:rsid w:val="00C827D1"/>
    <w:rsid w:val="00CB2992"/>
    <w:rsid w:val="00CB6412"/>
    <w:rsid w:val="00CB688F"/>
    <w:rsid w:val="00CD2719"/>
    <w:rsid w:val="00CE1AE5"/>
    <w:rsid w:val="00CE28CB"/>
    <w:rsid w:val="00CF500D"/>
    <w:rsid w:val="00CF7C77"/>
    <w:rsid w:val="00D04260"/>
    <w:rsid w:val="00D07E9E"/>
    <w:rsid w:val="00D16711"/>
    <w:rsid w:val="00D16E15"/>
    <w:rsid w:val="00D2495F"/>
    <w:rsid w:val="00D27848"/>
    <w:rsid w:val="00D31F3E"/>
    <w:rsid w:val="00D36767"/>
    <w:rsid w:val="00D40ADC"/>
    <w:rsid w:val="00D4421A"/>
    <w:rsid w:val="00D4491F"/>
    <w:rsid w:val="00D527A1"/>
    <w:rsid w:val="00D6132E"/>
    <w:rsid w:val="00D67293"/>
    <w:rsid w:val="00D7195A"/>
    <w:rsid w:val="00D71DAB"/>
    <w:rsid w:val="00D90508"/>
    <w:rsid w:val="00DA0156"/>
    <w:rsid w:val="00DB17FD"/>
    <w:rsid w:val="00DD0539"/>
    <w:rsid w:val="00DD2704"/>
    <w:rsid w:val="00DD4901"/>
    <w:rsid w:val="00DD5AA7"/>
    <w:rsid w:val="00DE3943"/>
    <w:rsid w:val="00DF33FF"/>
    <w:rsid w:val="00E17255"/>
    <w:rsid w:val="00E368DF"/>
    <w:rsid w:val="00E4258F"/>
    <w:rsid w:val="00E54759"/>
    <w:rsid w:val="00E61627"/>
    <w:rsid w:val="00E66187"/>
    <w:rsid w:val="00E671EF"/>
    <w:rsid w:val="00E76BFF"/>
    <w:rsid w:val="00E81327"/>
    <w:rsid w:val="00E8283E"/>
    <w:rsid w:val="00E90C7A"/>
    <w:rsid w:val="00E924E3"/>
    <w:rsid w:val="00E96947"/>
    <w:rsid w:val="00E96A01"/>
    <w:rsid w:val="00EA5E79"/>
    <w:rsid w:val="00EB05EB"/>
    <w:rsid w:val="00EB1F44"/>
    <w:rsid w:val="00ED4CAB"/>
    <w:rsid w:val="00ED5B3B"/>
    <w:rsid w:val="00ED7C28"/>
    <w:rsid w:val="00EE71B8"/>
    <w:rsid w:val="00EF097B"/>
    <w:rsid w:val="00EF76B4"/>
    <w:rsid w:val="00F0064F"/>
    <w:rsid w:val="00F13327"/>
    <w:rsid w:val="00F16BA9"/>
    <w:rsid w:val="00F21A5C"/>
    <w:rsid w:val="00F34EB5"/>
    <w:rsid w:val="00F43AB6"/>
    <w:rsid w:val="00F44AD4"/>
    <w:rsid w:val="00F620B4"/>
    <w:rsid w:val="00F6261A"/>
    <w:rsid w:val="00F641F7"/>
    <w:rsid w:val="00F760F7"/>
    <w:rsid w:val="00F77F42"/>
    <w:rsid w:val="00F81F3F"/>
    <w:rsid w:val="00F848B4"/>
    <w:rsid w:val="00FA2BB3"/>
    <w:rsid w:val="00FB5EBA"/>
    <w:rsid w:val="00FE7E68"/>
    <w:rsid w:val="00FF2382"/>
    <w:rsid w:val="00FF5097"/>
    <w:rsid w:val="3DF8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77FE"/>
  <w15:chartTrackingRefBased/>
  <w15:docId w15:val="{89CC2751-C1EE-40B0-8586-F005B1FE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8F"/>
    <w:pPr>
      <w:spacing w:after="0" w:line="240" w:lineRule="auto"/>
    </w:pPr>
    <w:rPr>
      <w:sz w:val="24"/>
      <w:szCs w:val="24"/>
    </w:rPr>
  </w:style>
  <w:style w:type="paragraph" w:styleId="Heading1">
    <w:name w:val="heading 1"/>
    <w:basedOn w:val="Heading2"/>
    <w:next w:val="Normal"/>
    <w:link w:val="Heading1Char"/>
    <w:uiPriority w:val="9"/>
    <w:qFormat/>
    <w:rsid w:val="002A0296"/>
    <w:pPr>
      <w:numPr>
        <w:ilvl w:val="0"/>
      </w:numPr>
      <w:outlineLvl w:val="0"/>
    </w:pPr>
  </w:style>
  <w:style w:type="paragraph" w:styleId="Heading2">
    <w:name w:val="heading 2"/>
    <w:basedOn w:val="Normal"/>
    <w:next w:val="Normal"/>
    <w:link w:val="Heading2Char"/>
    <w:uiPriority w:val="9"/>
    <w:unhideWhenUsed/>
    <w:qFormat/>
    <w:rsid w:val="002A0296"/>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2A0296"/>
    <w:pPr>
      <w:keepNext/>
      <w:keepLines/>
      <w:numPr>
        <w:ilvl w:val="2"/>
        <w:numId w:val="1"/>
      </w:numPr>
      <w:spacing w:before="200"/>
      <w:outlineLvl w:val="2"/>
    </w:pPr>
    <w:rPr>
      <w:rFonts w:asciiTheme="majorHAnsi" w:eastAsiaTheme="majorEastAsia" w:hAnsiTheme="majorHAnsi" w:cstheme="majorBidi"/>
      <w:b/>
      <w:bCs/>
      <w:color w:val="4472C4" w:themeColor="accent1"/>
      <w:szCs w:val="22"/>
    </w:rPr>
  </w:style>
  <w:style w:type="paragraph" w:styleId="Heading4">
    <w:name w:val="heading 4"/>
    <w:basedOn w:val="Normal"/>
    <w:next w:val="Normal"/>
    <w:link w:val="Heading4Char"/>
    <w:uiPriority w:val="9"/>
    <w:unhideWhenUsed/>
    <w:qFormat/>
    <w:rsid w:val="002A0296"/>
    <w:pPr>
      <w:keepNext/>
      <w:keepLines/>
      <w:numPr>
        <w:ilvl w:val="3"/>
        <w:numId w:val="1"/>
      </w:numPr>
      <w:spacing w:before="200"/>
      <w:outlineLvl w:val="3"/>
    </w:pPr>
    <w:rPr>
      <w:rFonts w:asciiTheme="majorHAnsi" w:eastAsiaTheme="majorEastAsia" w:hAnsiTheme="majorHAnsi" w:cstheme="majorBidi"/>
      <w:b/>
      <w:bCs/>
      <w:i/>
      <w:iCs/>
      <w:color w:val="4472C4" w:themeColor="accent1"/>
      <w:szCs w:val="22"/>
    </w:rPr>
  </w:style>
  <w:style w:type="paragraph" w:styleId="Heading5">
    <w:name w:val="heading 5"/>
    <w:basedOn w:val="Normal"/>
    <w:next w:val="Normal"/>
    <w:link w:val="Heading5Char"/>
    <w:uiPriority w:val="9"/>
    <w:semiHidden/>
    <w:unhideWhenUsed/>
    <w:qFormat/>
    <w:rsid w:val="002A0296"/>
    <w:pPr>
      <w:keepNext/>
      <w:keepLines/>
      <w:numPr>
        <w:ilvl w:val="4"/>
        <w:numId w:val="1"/>
      </w:numPr>
      <w:spacing w:before="200"/>
      <w:outlineLvl w:val="4"/>
    </w:pPr>
    <w:rPr>
      <w:rFonts w:asciiTheme="majorHAnsi" w:eastAsiaTheme="majorEastAsia" w:hAnsiTheme="majorHAnsi" w:cstheme="majorBidi"/>
      <w:color w:val="1F3763" w:themeColor="accent1" w:themeShade="7F"/>
      <w:szCs w:val="22"/>
    </w:rPr>
  </w:style>
  <w:style w:type="paragraph" w:styleId="Heading6">
    <w:name w:val="heading 6"/>
    <w:basedOn w:val="Normal"/>
    <w:next w:val="Normal"/>
    <w:link w:val="Heading6Char"/>
    <w:uiPriority w:val="9"/>
    <w:semiHidden/>
    <w:unhideWhenUsed/>
    <w:qFormat/>
    <w:rsid w:val="002A0296"/>
    <w:pPr>
      <w:keepNext/>
      <w:keepLines/>
      <w:numPr>
        <w:ilvl w:val="5"/>
        <w:numId w:val="1"/>
      </w:numPr>
      <w:spacing w:before="200"/>
      <w:outlineLvl w:val="5"/>
    </w:pPr>
    <w:rPr>
      <w:rFonts w:asciiTheme="majorHAnsi" w:eastAsiaTheme="majorEastAsia" w:hAnsiTheme="majorHAnsi" w:cstheme="majorBidi"/>
      <w:i/>
      <w:iCs/>
      <w:color w:val="1F3763" w:themeColor="accent1" w:themeShade="7F"/>
      <w:szCs w:val="22"/>
    </w:rPr>
  </w:style>
  <w:style w:type="paragraph" w:styleId="Heading7">
    <w:name w:val="heading 7"/>
    <w:basedOn w:val="Normal"/>
    <w:next w:val="Normal"/>
    <w:link w:val="Heading7Char"/>
    <w:uiPriority w:val="9"/>
    <w:unhideWhenUsed/>
    <w:qFormat/>
    <w:rsid w:val="002A0296"/>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2A029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029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rsid w:val="002A0296"/>
    <w:rPr>
      <w:vertAlign w:val="superscript"/>
    </w:rPr>
  </w:style>
  <w:style w:type="paragraph" w:styleId="FootnoteText">
    <w:name w:val="footnote text"/>
    <w:basedOn w:val="Normal"/>
    <w:link w:val="FootnoteTextChar"/>
    <w:uiPriority w:val="99"/>
    <w:unhideWhenUsed/>
    <w:rsid w:val="002A0296"/>
    <w:rPr>
      <w:rFonts w:ascii="Times New Roman" w:hAnsi="Times New Roman"/>
      <w:sz w:val="20"/>
      <w:szCs w:val="20"/>
    </w:rPr>
  </w:style>
  <w:style w:type="character" w:customStyle="1" w:styleId="FootnoteTextChar">
    <w:name w:val="Footnote Text Char"/>
    <w:basedOn w:val="DefaultParagraphFont"/>
    <w:link w:val="FootnoteText"/>
    <w:uiPriority w:val="99"/>
    <w:rsid w:val="002A0296"/>
    <w:rPr>
      <w:rFonts w:ascii="Times New Roman" w:hAnsi="Times New Roman"/>
      <w:sz w:val="20"/>
      <w:szCs w:val="20"/>
    </w:rPr>
  </w:style>
  <w:style w:type="paragraph" w:styleId="CommentText">
    <w:name w:val="annotation text"/>
    <w:basedOn w:val="Normal"/>
    <w:link w:val="CommentTextChar"/>
    <w:uiPriority w:val="99"/>
    <w:unhideWhenUsed/>
    <w:rsid w:val="002A0296"/>
    <w:pPr>
      <w:spacing w:after="160"/>
    </w:pPr>
    <w:rPr>
      <w:sz w:val="20"/>
      <w:szCs w:val="20"/>
    </w:rPr>
  </w:style>
  <w:style w:type="character" w:customStyle="1" w:styleId="CommentTextChar">
    <w:name w:val="Comment Text Char"/>
    <w:basedOn w:val="DefaultParagraphFont"/>
    <w:link w:val="CommentText"/>
    <w:uiPriority w:val="99"/>
    <w:rsid w:val="002A0296"/>
    <w:rPr>
      <w:sz w:val="20"/>
      <w:szCs w:val="20"/>
    </w:rPr>
  </w:style>
  <w:style w:type="paragraph" w:styleId="ListParagraph">
    <w:name w:val="List Paragraph"/>
    <w:basedOn w:val="Normal"/>
    <w:uiPriority w:val="34"/>
    <w:qFormat/>
    <w:rsid w:val="002A0296"/>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2A0296"/>
    <w:rPr>
      <w:rFonts w:asciiTheme="majorHAnsi" w:eastAsiaTheme="majorEastAsia" w:hAnsiTheme="majorHAnsi" w:cstheme="majorBidi"/>
      <w:b/>
      <w:bCs/>
      <w:color w:val="000000" w:themeColor="text1"/>
      <w:sz w:val="26"/>
      <w:szCs w:val="26"/>
    </w:rPr>
  </w:style>
  <w:style w:type="character" w:customStyle="1" w:styleId="Heading2Char">
    <w:name w:val="Heading 2 Char"/>
    <w:basedOn w:val="DefaultParagraphFont"/>
    <w:link w:val="Heading2"/>
    <w:uiPriority w:val="9"/>
    <w:rsid w:val="002A0296"/>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2A0296"/>
    <w:rPr>
      <w:rFonts w:asciiTheme="majorHAnsi" w:eastAsiaTheme="majorEastAsia" w:hAnsiTheme="majorHAnsi" w:cstheme="majorBidi"/>
      <w:b/>
      <w:bCs/>
      <w:color w:val="4472C4" w:themeColor="accent1"/>
      <w:sz w:val="24"/>
    </w:rPr>
  </w:style>
  <w:style w:type="character" w:customStyle="1" w:styleId="Heading4Char">
    <w:name w:val="Heading 4 Char"/>
    <w:basedOn w:val="DefaultParagraphFont"/>
    <w:link w:val="Heading4"/>
    <w:uiPriority w:val="9"/>
    <w:rsid w:val="002A0296"/>
    <w:rPr>
      <w:rFonts w:asciiTheme="majorHAnsi" w:eastAsiaTheme="majorEastAsia" w:hAnsiTheme="majorHAnsi" w:cstheme="majorBidi"/>
      <w:b/>
      <w:bCs/>
      <w:i/>
      <w:iCs/>
      <w:color w:val="4472C4" w:themeColor="accent1"/>
      <w:sz w:val="24"/>
    </w:rPr>
  </w:style>
  <w:style w:type="character" w:customStyle="1" w:styleId="Heading5Char">
    <w:name w:val="Heading 5 Char"/>
    <w:basedOn w:val="DefaultParagraphFont"/>
    <w:link w:val="Heading5"/>
    <w:uiPriority w:val="9"/>
    <w:semiHidden/>
    <w:rsid w:val="002A0296"/>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2A0296"/>
    <w:rPr>
      <w:rFonts w:asciiTheme="majorHAnsi" w:eastAsiaTheme="majorEastAsia" w:hAnsiTheme="majorHAnsi" w:cstheme="majorBidi"/>
      <w:i/>
      <w:iCs/>
      <w:color w:val="1F3763" w:themeColor="accent1" w:themeShade="7F"/>
      <w:sz w:val="24"/>
    </w:rPr>
  </w:style>
  <w:style w:type="character" w:customStyle="1" w:styleId="Heading7Char">
    <w:name w:val="Heading 7 Char"/>
    <w:basedOn w:val="DefaultParagraphFont"/>
    <w:link w:val="Heading7"/>
    <w:uiPriority w:val="9"/>
    <w:rsid w:val="002A029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A02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029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22C5F"/>
    <w:pPr>
      <w:tabs>
        <w:tab w:val="center" w:pos="4680"/>
        <w:tab w:val="right" w:pos="9360"/>
      </w:tabs>
    </w:pPr>
  </w:style>
  <w:style w:type="character" w:customStyle="1" w:styleId="HeaderChar">
    <w:name w:val="Header Char"/>
    <w:basedOn w:val="DefaultParagraphFont"/>
    <w:link w:val="Header"/>
    <w:uiPriority w:val="99"/>
    <w:rsid w:val="00622C5F"/>
    <w:rPr>
      <w:sz w:val="24"/>
      <w:szCs w:val="24"/>
    </w:rPr>
  </w:style>
  <w:style w:type="paragraph" w:styleId="Footer">
    <w:name w:val="footer"/>
    <w:basedOn w:val="Normal"/>
    <w:link w:val="FooterChar"/>
    <w:uiPriority w:val="99"/>
    <w:unhideWhenUsed/>
    <w:rsid w:val="00622C5F"/>
    <w:pPr>
      <w:tabs>
        <w:tab w:val="center" w:pos="4680"/>
        <w:tab w:val="right" w:pos="9360"/>
      </w:tabs>
    </w:pPr>
  </w:style>
  <w:style w:type="character" w:customStyle="1" w:styleId="FooterChar">
    <w:name w:val="Footer Char"/>
    <w:basedOn w:val="DefaultParagraphFont"/>
    <w:link w:val="Footer"/>
    <w:uiPriority w:val="99"/>
    <w:rsid w:val="00622C5F"/>
    <w:rPr>
      <w:sz w:val="24"/>
      <w:szCs w:val="24"/>
    </w:rPr>
  </w:style>
  <w:style w:type="character" w:styleId="CommentReference">
    <w:name w:val="annotation reference"/>
    <w:basedOn w:val="DefaultParagraphFont"/>
    <w:uiPriority w:val="99"/>
    <w:semiHidden/>
    <w:unhideWhenUsed/>
    <w:rsid w:val="00010D81"/>
    <w:rPr>
      <w:sz w:val="16"/>
      <w:szCs w:val="16"/>
    </w:rPr>
  </w:style>
  <w:style w:type="paragraph" w:styleId="CommentSubject">
    <w:name w:val="annotation subject"/>
    <w:basedOn w:val="CommentText"/>
    <w:next w:val="CommentText"/>
    <w:link w:val="CommentSubjectChar"/>
    <w:uiPriority w:val="99"/>
    <w:semiHidden/>
    <w:unhideWhenUsed/>
    <w:rsid w:val="00010D81"/>
    <w:pPr>
      <w:spacing w:after="0"/>
    </w:pPr>
    <w:rPr>
      <w:b/>
      <w:bCs/>
    </w:rPr>
  </w:style>
  <w:style w:type="character" w:customStyle="1" w:styleId="CommentSubjectChar">
    <w:name w:val="Comment Subject Char"/>
    <w:basedOn w:val="CommentTextChar"/>
    <w:link w:val="CommentSubject"/>
    <w:uiPriority w:val="99"/>
    <w:semiHidden/>
    <w:rsid w:val="00010D81"/>
    <w:rPr>
      <w:b/>
      <w:bCs/>
      <w:sz w:val="20"/>
      <w:szCs w:val="20"/>
    </w:rPr>
  </w:style>
  <w:style w:type="paragraph" w:styleId="BalloonText">
    <w:name w:val="Balloon Text"/>
    <w:basedOn w:val="Normal"/>
    <w:link w:val="BalloonTextChar"/>
    <w:uiPriority w:val="99"/>
    <w:semiHidden/>
    <w:unhideWhenUsed/>
    <w:rsid w:val="00010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D81"/>
    <w:rPr>
      <w:rFonts w:ascii="Segoe UI" w:hAnsi="Segoe UI" w:cs="Segoe UI"/>
      <w:sz w:val="18"/>
      <w:szCs w:val="18"/>
    </w:rPr>
  </w:style>
  <w:style w:type="character" w:customStyle="1" w:styleId="st1">
    <w:name w:val="st1"/>
    <w:basedOn w:val="DefaultParagraphFont"/>
    <w:rsid w:val="00E66187"/>
  </w:style>
  <w:style w:type="paragraph" w:customStyle="1" w:styleId="xmsonormal">
    <w:name w:val="x_msonormal"/>
    <w:basedOn w:val="Normal"/>
    <w:rsid w:val="00E66187"/>
    <w:rPr>
      <w:rFonts w:ascii="Calibri" w:hAnsi="Calibri" w:cs="Calibri"/>
      <w:sz w:val="22"/>
      <w:szCs w:val="22"/>
    </w:rPr>
  </w:style>
  <w:style w:type="paragraph" w:customStyle="1" w:styleId="paragraph">
    <w:name w:val="paragraph"/>
    <w:basedOn w:val="Normal"/>
    <w:rsid w:val="0088054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8054F"/>
  </w:style>
  <w:style w:type="character" w:customStyle="1" w:styleId="eop">
    <w:name w:val="eop"/>
    <w:basedOn w:val="DefaultParagraphFont"/>
    <w:rsid w:val="0088054F"/>
  </w:style>
  <w:style w:type="paragraph" w:customStyle="1" w:styleId="Default">
    <w:name w:val="Default"/>
    <w:rsid w:val="00240A93"/>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68609">
      <w:bodyDiv w:val="1"/>
      <w:marLeft w:val="0"/>
      <w:marRight w:val="0"/>
      <w:marTop w:val="0"/>
      <w:marBottom w:val="0"/>
      <w:divBdr>
        <w:top w:val="none" w:sz="0" w:space="0" w:color="auto"/>
        <w:left w:val="none" w:sz="0" w:space="0" w:color="auto"/>
        <w:bottom w:val="none" w:sz="0" w:space="0" w:color="auto"/>
        <w:right w:val="none" w:sz="0" w:space="0" w:color="auto"/>
      </w:divBdr>
    </w:div>
    <w:div w:id="10468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19638E2FBB84CB9AE9B634A23F4B6" ma:contentTypeVersion="10" ma:contentTypeDescription="Create a new document." ma:contentTypeScope="" ma:versionID="7b5150ee1cef01bd350283ad0a6017d5">
  <xsd:schema xmlns:xsd="http://www.w3.org/2001/XMLSchema" xmlns:xs="http://www.w3.org/2001/XMLSchema" xmlns:p="http://schemas.microsoft.com/office/2006/metadata/properties" xmlns:ns2="719b9d55-39a6-4559-88b5-bb9ef2ac83de" xmlns:ns3="40e36056-238a-4ce6-8e25-732879faca45" targetNamespace="http://schemas.microsoft.com/office/2006/metadata/properties" ma:root="true" ma:fieldsID="2d5224ac33799ad28aa7a758329cc855" ns2:_="" ns3:_="">
    <xsd:import namespace="719b9d55-39a6-4559-88b5-bb9ef2ac83de"/>
    <xsd:import namespace="40e36056-238a-4ce6-8e25-732879faca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b9d55-39a6-4559-88b5-bb9ef2ac8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6056-238a-4ce6-8e25-732879fac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D3FC6-DD49-43FA-B6B0-DB1E19201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b9d55-39a6-4559-88b5-bb9ef2ac83de"/>
    <ds:schemaRef ds:uri="40e36056-238a-4ce6-8e25-732879fac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D086-67F4-4A0E-8212-52A06B39B0EB}">
  <ds:schemaRefs>
    <ds:schemaRef ds:uri="http://schemas.microsoft.com/sharepoint/v3/contenttype/forms"/>
  </ds:schemaRefs>
</ds:datastoreItem>
</file>

<file path=customXml/itemProps3.xml><?xml version="1.0" encoding="utf-8"?>
<ds:datastoreItem xmlns:ds="http://schemas.openxmlformats.org/officeDocument/2006/customXml" ds:itemID="{E5AE6C8E-2309-496F-9C4D-124DE6842E4D}">
  <ds:schemaRefs>
    <ds:schemaRef ds:uri="http://schemas.openxmlformats.org/officeDocument/2006/bibliography"/>
  </ds:schemaRefs>
</ds:datastoreItem>
</file>

<file path=customXml/itemProps4.xml><?xml version="1.0" encoding="utf-8"?>
<ds:datastoreItem xmlns:ds="http://schemas.openxmlformats.org/officeDocument/2006/customXml" ds:itemID="{CEFDF260-0F5F-4C3D-97AE-4F5BCC1C7D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7701</Characters>
  <Application>Microsoft Office Word</Application>
  <DocSecurity>0</DocSecurity>
  <Lines>183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Yi</dc:creator>
  <cp:keywords/>
  <dc:description/>
  <cp:lastModifiedBy>Lewis Wood</cp:lastModifiedBy>
  <cp:revision>2</cp:revision>
  <cp:lastPrinted>2021-08-31T17:17:00Z</cp:lastPrinted>
  <dcterms:created xsi:type="dcterms:W3CDTF">2021-09-01T16:10:00Z</dcterms:created>
  <dcterms:modified xsi:type="dcterms:W3CDTF">2021-09-01T16:10:00Z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0x010100F2619638E2FBB84CB9AE9B634A23F4B6</vt:lpwstr>
  </property>
</Properties>
</file>